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rFonts w:ascii="方正小标宋简体" w:eastAsia="方正小标宋简体"/>
          <w:i/>
          <w:iCs/>
          <w:sz w:val="24"/>
        </w:rPr>
      </w:pPr>
      <w:r>
        <w:rPr>
          <w:rFonts w:hint="eastAsia" w:ascii="方正小标宋简体" w:eastAsia="方正小标宋简体"/>
          <w:b/>
          <w:sz w:val="32"/>
          <w:szCs w:val="32"/>
        </w:rPr>
        <w:t>深圳信息职业技术学院学生公寓书椅需求</w:t>
      </w:r>
    </w:p>
    <w:tbl>
      <w:tblPr>
        <w:tblStyle w:val="10"/>
        <w:tblW w:w="10305" w:type="dxa"/>
        <w:jc w:val="center"/>
        <w:tblInd w:w="-3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9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08" w:type="dxa"/>
            <w:vAlign w:val="center"/>
          </w:tcPr>
          <w:p>
            <w:pPr>
              <w:jc w:val="center"/>
              <w:rPr>
                <w:sz w:val="24"/>
              </w:rPr>
            </w:pPr>
            <w:r>
              <w:rPr>
                <w:rFonts w:hint="eastAsia" w:ascii="宋体" w:hAnsi="宋体" w:cs="宋体"/>
                <w:b/>
                <w:bCs/>
                <w:kern w:val="0"/>
                <w:sz w:val="24"/>
              </w:rPr>
              <w:t>投标人资质要求</w:t>
            </w:r>
          </w:p>
        </w:tc>
        <w:tc>
          <w:tcPr>
            <w:tcW w:w="9697" w:type="dxa"/>
          </w:tcPr>
          <w:p>
            <w:pPr>
              <w:rPr>
                <w:rFonts w:cs="宋体"/>
                <w:b/>
                <w:kern w:val="0"/>
                <w:szCs w:val="21"/>
              </w:rPr>
            </w:pPr>
            <w:r>
              <w:rPr>
                <w:rFonts w:cs="宋体"/>
                <w:b/>
                <w:kern w:val="0"/>
                <w:szCs w:val="21"/>
              </w:rPr>
              <w:t>基本资质要求：</w:t>
            </w:r>
          </w:p>
          <w:p>
            <w:pPr>
              <w:widowControl/>
              <w:numPr>
                <w:ilvl w:val="0"/>
                <w:numId w:val="1"/>
              </w:numPr>
              <w:spacing w:line="360" w:lineRule="auto"/>
              <w:jc w:val="left"/>
              <w:rPr>
                <w:rFonts w:ascii="宋体" w:hAnsi="宋体" w:cs="宋体"/>
                <w:kern w:val="0"/>
                <w:szCs w:val="21"/>
              </w:rPr>
            </w:pPr>
            <w:r>
              <w:rPr>
                <w:rFonts w:hint="eastAsia" w:ascii="宋体" w:hAnsi="宋体" w:cs="宋体"/>
                <w:kern w:val="0"/>
                <w:szCs w:val="21"/>
              </w:rPr>
              <w:t>具有独立法人资格（提供合法有效的营业执照原件扫描件，投标报名时需提供原件。）； </w:t>
            </w:r>
          </w:p>
          <w:p>
            <w:pPr>
              <w:widowControl/>
              <w:numPr>
                <w:ilvl w:val="0"/>
                <w:numId w:val="1"/>
              </w:numPr>
              <w:spacing w:line="360" w:lineRule="auto"/>
              <w:jc w:val="left"/>
              <w:rPr>
                <w:rFonts w:ascii="宋体" w:hAnsi="宋体" w:cs="宋体"/>
                <w:kern w:val="0"/>
                <w:szCs w:val="21"/>
              </w:rPr>
            </w:pPr>
            <w:r>
              <w:rPr>
                <w:rFonts w:ascii="宋体" w:hAnsi="宋体" w:cs="宋体"/>
                <w:kern w:val="0"/>
                <w:szCs w:val="21"/>
              </w:rPr>
              <w:t>投标人近三年内在政府采购中无行贿犯罪记录，且未被政府相关部门列入诚信档案黑名单</w:t>
            </w:r>
            <w:r>
              <w:rPr>
                <w:rFonts w:hint="eastAsia" w:ascii="宋体" w:hAnsi="宋体" w:cs="宋体"/>
                <w:kern w:val="0"/>
                <w:szCs w:val="21"/>
              </w:rPr>
              <w:t>；</w:t>
            </w:r>
          </w:p>
          <w:p>
            <w:pPr>
              <w:widowControl/>
              <w:numPr>
                <w:ilvl w:val="0"/>
                <w:numId w:val="1"/>
              </w:numPr>
              <w:spacing w:line="360" w:lineRule="auto"/>
              <w:jc w:val="left"/>
              <w:rPr>
                <w:rFonts w:ascii="宋体" w:hAnsi="宋体" w:cs="宋体"/>
                <w:kern w:val="0"/>
                <w:szCs w:val="21"/>
              </w:rPr>
            </w:pPr>
            <w:r>
              <w:rPr>
                <w:rFonts w:hint="eastAsia" w:ascii="宋体" w:hAnsi="宋体" w:cs="宋体"/>
                <w:kern w:val="0"/>
                <w:szCs w:val="21"/>
              </w:rPr>
              <w:t>投标人入选深圳市2017-2019年度政府采购家具预选供应商库；；</w:t>
            </w:r>
          </w:p>
          <w:p>
            <w:pPr>
              <w:numPr>
                <w:ilvl w:val="0"/>
                <w:numId w:val="1"/>
              </w:numPr>
              <w:spacing w:line="360" w:lineRule="auto"/>
              <w:jc w:val="left"/>
              <w:rPr>
                <w:rFonts w:cs="宋体"/>
                <w:kern w:val="0"/>
                <w:szCs w:val="21"/>
              </w:rPr>
            </w:pPr>
            <w:r>
              <w:rPr>
                <w:rFonts w:hint="eastAsia" w:ascii="宋体" w:hAnsi="宋体" w:cs="宋体"/>
                <w:kern w:val="0"/>
                <w:szCs w:val="21"/>
              </w:rPr>
              <w:t>不接受投标人选用进口产品参与投标。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1" w:hRule="atLeast"/>
          <w:jc w:val="center"/>
        </w:trPr>
        <w:tc>
          <w:tcPr>
            <w:tcW w:w="608" w:type="dxa"/>
            <w:vAlign w:val="center"/>
          </w:tcPr>
          <w:p>
            <w:pPr>
              <w:jc w:val="center"/>
              <w:rPr>
                <w:rFonts w:ascii="宋体" w:hAnsi="宋体" w:cs="宋体"/>
                <w:b/>
                <w:bCs/>
                <w:kern w:val="0"/>
                <w:sz w:val="24"/>
              </w:rPr>
            </w:pPr>
            <w:r>
              <w:rPr>
                <w:rFonts w:ascii="宋体" w:hAnsi="宋体" w:cs="宋体"/>
                <w:b/>
                <w:bCs/>
                <w:kern w:val="0"/>
                <w:sz w:val="24"/>
              </w:rPr>
              <w:t>货物清单</w:t>
            </w:r>
          </w:p>
        </w:tc>
        <w:tc>
          <w:tcPr>
            <w:tcW w:w="9697" w:type="dxa"/>
          </w:tcPr>
          <w:p>
            <w:pPr>
              <w:spacing w:line="276" w:lineRule="auto"/>
              <w:ind w:leftChars="-49" w:hanging="102" w:hangingChars="49"/>
              <w:jc w:val="left"/>
              <w:rPr>
                <w:rFonts w:hAnsi="宋体" w:cs="宋体"/>
                <w:kern w:val="0"/>
                <w:szCs w:val="21"/>
              </w:rPr>
            </w:pPr>
          </w:p>
          <w:tbl>
            <w:tblPr>
              <w:tblStyle w:val="11"/>
              <w:tblW w:w="9066"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3"/>
              <w:gridCol w:w="1813"/>
              <w:gridCol w:w="1813"/>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814" w:type="dxa"/>
                </w:tcPr>
                <w:p>
                  <w:pPr>
                    <w:spacing w:line="276" w:lineRule="auto"/>
                    <w:jc w:val="center"/>
                    <w:rPr>
                      <w:rFonts w:hAnsi="宋体" w:cs="宋体"/>
                      <w:b/>
                      <w:kern w:val="0"/>
                      <w:szCs w:val="21"/>
                    </w:rPr>
                  </w:pPr>
                  <w:r>
                    <w:rPr>
                      <w:rFonts w:hint="eastAsia" w:hAnsi="宋体" w:cs="宋体"/>
                      <w:b/>
                      <w:kern w:val="0"/>
                      <w:szCs w:val="21"/>
                    </w:rPr>
                    <w:t>序号</w:t>
                  </w:r>
                </w:p>
              </w:tc>
              <w:tc>
                <w:tcPr>
                  <w:tcW w:w="1813" w:type="dxa"/>
                </w:tcPr>
                <w:p>
                  <w:pPr>
                    <w:spacing w:line="276" w:lineRule="auto"/>
                    <w:jc w:val="center"/>
                    <w:rPr>
                      <w:rFonts w:hAnsi="宋体" w:cs="宋体"/>
                      <w:b/>
                      <w:kern w:val="0"/>
                      <w:szCs w:val="21"/>
                    </w:rPr>
                  </w:pPr>
                  <w:r>
                    <w:rPr>
                      <w:rFonts w:hint="eastAsia" w:hAnsi="宋体" w:cs="宋体"/>
                      <w:b/>
                      <w:kern w:val="0"/>
                      <w:szCs w:val="21"/>
                    </w:rPr>
                    <w:t>货物名称</w:t>
                  </w:r>
                </w:p>
              </w:tc>
              <w:tc>
                <w:tcPr>
                  <w:tcW w:w="1813" w:type="dxa"/>
                </w:tcPr>
                <w:p>
                  <w:pPr>
                    <w:spacing w:line="276" w:lineRule="auto"/>
                    <w:jc w:val="center"/>
                    <w:rPr>
                      <w:rFonts w:hAnsi="宋体" w:cs="宋体"/>
                      <w:b/>
                      <w:kern w:val="0"/>
                      <w:szCs w:val="21"/>
                    </w:rPr>
                  </w:pPr>
                  <w:r>
                    <w:rPr>
                      <w:rFonts w:hint="eastAsia" w:hAnsi="宋体" w:cs="宋体"/>
                      <w:b/>
                      <w:kern w:val="0"/>
                      <w:szCs w:val="21"/>
                    </w:rPr>
                    <w:t>数量</w:t>
                  </w:r>
                </w:p>
              </w:tc>
              <w:tc>
                <w:tcPr>
                  <w:tcW w:w="1813" w:type="dxa"/>
                </w:tcPr>
                <w:p>
                  <w:pPr>
                    <w:spacing w:line="276" w:lineRule="auto"/>
                    <w:jc w:val="center"/>
                    <w:rPr>
                      <w:rFonts w:hAnsi="宋体" w:cs="宋体"/>
                      <w:b/>
                      <w:kern w:val="0"/>
                      <w:szCs w:val="21"/>
                    </w:rPr>
                  </w:pPr>
                  <w:r>
                    <w:rPr>
                      <w:rFonts w:hint="eastAsia" w:hAnsi="宋体" w:cs="宋体"/>
                      <w:b/>
                      <w:kern w:val="0"/>
                      <w:szCs w:val="21"/>
                    </w:rPr>
                    <w:t>单位</w:t>
                  </w:r>
                </w:p>
              </w:tc>
              <w:tc>
                <w:tcPr>
                  <w:tcW w:w="1813" w:type="dxa"/>
                </w:tcPr>
                <w:p>
                  <w:pPr>
                    <w:spacing w:line="276" w:lineRule="auto"/>
                    <w:jc w:val="center"/>
                    <w:rPr>
                      <w:rFonts w:hAnsi="宋体" w:cs="宋体"/>
                      <w:b/>
                      <w:kern w:val="0"/>
                      <w:szCs w:val="21"/>
                    </w:rPr>
                  </w:pPr>
                  <w:r>
                    <w:rPr>
                      <w:rFonts w:hint="eastAsia"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trPr>
              <w:tc>
                <w:tcPr>
                  <w:tcW w:w="1814" w:type="dxa"/>
                </w:tcPr>
                <w:p>
                  <w:pPr>
                    <w:spacing w:line="276" w:lineRule="auto"/>
                    <w:jc w:val="center"/>
                    <w:rPr>
                      <w:rFonts w:hAnsi="宋体" w:cs="宋体"/>
                      <w:kern w:val="0"/>
                      <w:szCs w:val="21"/>
                    </w:rPr>
                  </w:pPr>
                  <w:r>
                    <w:rPr>
                      <w:rFonts w:hint="eastAsia" w:hAnsi="宋体" w:cs="宋体"/>
                      <w:kern w:val="0"/>
                      <w:szCs w:val="21"/>
                    </w:rPr>
                    <w:t>1</w:t>
                  </w:r>
                </w:p>
              </w:tc>
              <w:tc>
                <w:tcPr>
                  <w:tcW w:w="1813" w:type="dxa"/>
                </w:tcPr>
                <w:p>
                  <w:pPr>
                    <w:spacing w:line="276" w:lineRule="auto"/>
                    <w:jc w:val="left"/>
                    <w:rPr>
                      <w:rFonts w:hAnsi="宋体" w:cs="宋体"/>
                      <w:kern w:val="0"/>
                      <w:szCs w:val="21"/>
                    </w:rPr>
                  </w:pPr>
                  <w:r>
                    <w:rPr>
                      <w:rFonts w:hint="eastAsia" w:hAnsi="宋体" w:cs="宋体"/>
                      <w:kern w:val="0"/>
                      <w:szCs w:val="21"/>
                    </w:rPr>
                    <w:t xml:space="preserve">   书椅</w:t>
                  </w:r>
                </w:p>
              </w:tc>
              <w:tc>
                <w:tcPr>
                  <w:tcW w:w="1813" w:type="dxa"/>
                </w:tcPr>
                <w:p>
                  <w:pPr>
                    <w:spacing w:line="276" w:lineRule="auto"/>
                    <w:jc w:val="left"/>
                    <w:rPr>
                      <w:rFonts w:hAnsi="宋体" w:cs="宋体"/>
                      <w:kern w:val="0"/>
                      <w:szCs w:val="21"/>
                    </w:rPr>
                  </w:pPr>
                  <w:r>
                    <w:rPr>
                      <w:rFonts w:hint="eastAsia" w:hAnsi="宋体" w:cs="宋体"/>
                      <w:kern w:val="0"/>
                      <w:szCs w:val="21"/>
                    </w:rPr>
                    <w:t>1500</w:t>
                  </w:r>
                </w:p>
              </w:tc>
              <w:tc>
                <w:tcPr>
                  <w:tcW w:w="1813" w:type="dxa"/>
                </w:tcPr>
                <w:p>
                  <w:pPr>
                    <w:spacing w:line="276" w:lineRule="auto"/>
                    <w:jc w:val="left"/>
                    <w:rPr>
                      <w:rFonts w:hAnsi="宋体" w:cs="宋体"/>
                      <w:kern w:val="0"/>
                      <w:szCs w:val="21"/>
                    </w:rPr>
                  </w:pPr>
                  <w:r>
                    <w:rPr>
                      <w:rFonts w:hint="eastAsia" w:hAnsi="宋体" w:cs="宋体"/>
                      <w:kern w:val="0"/>
                      <w:szCs w:val="21"/>
                    </w:rPr>
                    <w:t>把</w:t>
                  </w:r>
                </w:p>
              </w:tc>
              <w:tc>
                <w:tcPr>
                  <w:tcW w:w="1813" w:type="dxa"/>
                </w:tcPr>
                <w:p>
                  <w:pPr>
                    <w:spacing w:line="276" w:lineRule="auto"/>
                    <w:jc w:val="left"/>
                    <w:rPr>
                      <w:rFonts w:hint="eastAsia" w:hAnsi="宋体" w:eastAsia="宋体" w:cs="宋体"/>
                      <w:kern w:val="0"/>
                      <w:szCs w:val="21"/>
                      <w:lang w:eastAsia="zh-CN"/>
                    </w:rPr>
                  </w:pPr>
                  <w:r>
                    <w:rPr>
                      <w:rFonts w:hint="eastAsia" w:hAnsi="宋体" w:eastAsia="宋体" w:cs="宋体"/>
                      <w:kern w:val="0"/>
                      <w:szCs w:val="21"/>
                      <w:lang w:eastAsia="zh-CN"/>
                    </w:rPr>
                    <w:drawing>
                      <wp:inline distT="0" distB="0" distL="114300" distR="114300">
                        <wp:extent cx="795655" cy="830580"/>
                        <wp:effectExtent l="0" t="0" r="4445" b="7620"/>
                        <wp:docPr id="1" name="图片 1" descr="IMG_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207"/>
                                <pic:cNvPicPr>
                                  <a:picLocks noChangeAspect="1"/>
                                </pic:cNvPicPr>
                              </pic:nvPicPr>
                              <pic:blipFill>
                                <a:blip r:embed="rId4"/>
                                <a:stretch>
                                  <a:fillRect/>
                                </a:stretch>
                              </pic:blipFill>
                              <pic:spPr>
                                <a:xfrm>
                                  <a:off x="0" y="0"/>
                                  <a:ext cx="795655" cy="830580"/>
                                </a:xfrm>
                                <a:prstGeom prst="rect">
                                  <a:avLst/>
                                </a:prstGeom>
                              </pic:spPr>
                            </pic:pic>
                          </a:graphicData>
                        </a:graphic>
                      </wp:inline>
                    </w:drawing>
                  </w:r>
                </w:p>
              </w:tc>
            </w:tr>
          </w:tbl>
          <w:p>
            <w:pPr>
              <w:spacing w:line="276" w:lineRule="auto"/>
              <w:ind w:leftChars="-49" w:hanging="102" w:hangingChars="49"/>
              <w:jc w:val="left"/>
              <w:rPr>
                <w:rFonts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608" w:type="dxa"/>
            <w:vMerge w:val="restart"/>
            <w:vAlign w:val="center"/>
          </w:tcPr>
          <w:p>
            <w:pPr>
              <w:jc w:val="center"/>
              <w:rPr>
                <w:rFonts w:ascii="宋体" w:hAnsi="宋体" w:cs="宋体"/>
                <w:b/>
                <w:bCs/>
                <w:kern w:val="0"/>
                <w:sz w:val="24"/>
              </w:rPr>
            </w:pPr>
            <w:r>
              <w:rPr>
                <w:rFonts w:hint="eastAsia" w:ascii="宋体" w:hAnsi="宋体" w:cs="宋体"/>
                <w:b/>
                <w:bCs/>
                <w:kern w:val="0"/>
                <w:sz w:val="24"/>
              </w:rPr>
              <w:t>具体技术要求</w:t>
            </w:r>
          </w:p>
        </w:tc>
        <w:tc>
          <w:tcPr>
            <w:tcW w:w="9697" w:type="dxa"/>
            <w:vAlign w:val="center"/>
          </w:tcPr>
          <w:p>
            <w:pPr>
              <w:jc w:val="center"/>
              <w:rPr>
                <w:rFonts w:hAnsi="宋体" w:cs="宋体"/>
                <w:kern w:val="0"/>
                <w:szCs w:val="21"/>
              </w:rPr>
            </w:pPr>
            <w:r>
              <w:rPr>
                <w:rFonts w:hint="eastAsia" w:hAnsi="宋体" w:cs="宋体"/>
                <w:b/>
                <w:kern w:val="0"/>
                <w:szCs w:val="21"/>
              </w:rPr>
              <w:t>请具体填写技术要求内容（没有请填无）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jc w:val="center"/>
        </w:trPr>
        <w:tc>
          <w:tcPr>
            <w:tcW w:w="608" w:type="dxa"/>
            <w:vMerge w:val="continue"/>
            <w:vAlign w:val="center"/>
          </w:tcPr>
          <w:p>
            <w:pPr>
              <w:jc w:val="center"/>
              <w:rPr>
                <w:rFonts w:ascii="宋体" w:hAnsi="宋体" w:cs="宋体"/>
                <w:b/>
                <w:bCs/>
                <w:kern w:val="0"/>
                <w:sz w:val="24"/>
              </w:rPr>
            </w:pPr>
          </w:p>
        </w:tc>
        <w:tc>
          <w:tcPr>
            <w:tcW w:w="9697" w:type="dxa"/>
            <w:vAlign w:val="center"/>
          </w:tcPr>
          <w:tbl>
            <w:tblPr>
              <w:tblStyle w:val="10"/>
              <w:tblW w:w="7533"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136"/>
              <w:gridCol w:w="1719"/>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764" w:type="dxa"/>
                  <w:vAlign w:val="center"/>
                </w:tcPr>
                <w:p>
                  <w:pPr>
                    <w:jc w:val="center"/>
                    <w:rPr>
                      <w:szCs w:val="21"/>
                    </w:rPr>
                  </w:pPr>
                  <w:r>
                    <w:rPr>
                      <w:rFonts w:hint="eastAsia"/>
                      <w:b/>
                      <w:szCs w:val="21"/>
                    </w:rPr>
                    <w:t>序号</w:t>
                  </w:r>
                </w:p>
              </w:tc>
              <w:tc>
                <w:tcPr>
                  <w:tcW w:w="2136" w:type="dxa"/>
                  <w:vAlign w:val="center"/>
                </w:tcPr>
                <w:p>
                  <w:pPr>
                    <w:jc w:val="center"/>
                    <w:rPr>
                      <w:b/>
                      <w:szCs w:val="21"/>
                    </w:rPr>
                  </w:pPr>
                  <w:r>
                    <w:rPr>
                      <w:rFonts w:hint="eastAsia"/>
                      <w:b/>
                      <w:szCs w:val="21"/>
                    </w:rPr>
                    <w:t>货物名称</w:t>
                  </w:r>
                </w:p>
              </w:tc>
              <w:tc>
                <w:tcPr>
                  <w:tcW w:w="1719" w:type="dxa"/>
                  <w:vAlign w:val="center"/>
                </w:tcPr>
                <w:p>
                  <w:pPr>
                    <w:jc w:val="center"/>
                    <w:rPr>
                      <w:b/>
                      <w:szCs w:val="21"/>
                    </w:rPr>
                  </w:pPr>
                  <w:r>
                    <w:rPr>
                      <w:rFonts w:hint="eastAsia"/>
                      <w:b/>
                      <w:szCs w:val="21"/>
                    </w:rPr>
                    <w:t>重要级别</w:t>
                  </w:r>
                </w:p>
                <w:p>
                  <w:pPr>
                    <w:jc w:val="center"/>
                    <w:rPr>
                      <w:b/>
                      <w:szCs w:val="21"/>
                    </w:rPr>
                  </w:pPr>
                  <w:r>
                    <w:rPr>
                      <w:rFonts w:hint="eastAsia"/>
                      <w:b/>
                      <w:szCs w:val="21"/>
                    </w:rPr>
                    <w:t>（一般/▲/</w:t>
                  </w:r>
                  <w:r>
                    <w:rPr>
                      <w:b/>
                      <w:szCs w:val="21"/>
                    </w:rPr>
                    <w:t>*</w:t>
                  </w:r>
                  <w:r>
                    <w:rPr>
                      <w:rFonts w:hint="eastAsia"/>
                      <w:b/>
                      <w:szCs w:val="21"/>
                    </w:rPr>
                    <w:t>）</w:t>
                  </w:r>
                </w:p>
              </w:tc>
              <w:tc>
                <w:tcPr>
                  <w:tcW w:w="2914" w:type="dxa"/>
                  <w:vAlign w:val="center"/>
                </w:tcPr>
                <w:p>
                  <w:pPr>
                    <w:jc w:val="center"/>
                    <w:rPr>
                      <w:b/>
                      <w:szCs w:val="21"/>
                    </w:rPr>
                  </w:pPr>
                  <w:r>
                    <w:rPr>
                      <w:rFonts w:hint="eastAsia"/>
                      <w:b/>
                      <w:szCs w:val="21"/>
                    </w:rPr>
                    <w:t>招标技术要求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764" w:type="dxa"/>
                  <w:vMerge w:val="restart"/>
                  <w:vAlign w:val="center"/>
                </w:tcPr>
                <w:p>
                  <w:pPr>
                    <w:jc w:val="center"/>
                    <w:rPr>
                      <w:b/>
                      <w:szCs w:val="21"/>
                    </w:rPr>
                  </w:pPr>
                  <w:r>
                    <w:rPr>
                      <w:rFonts w:hint="eastAsia"/>
                      <w:b/>
                      <w:szCs w:val="21"/>
                    </w:rPr>
                    <w:t>1</w:t>
                  </w:r>
                </w:p>
              </w:tc>
              <w:tc>
                <w:tcPr>
                  <w:tcW w:w="2136" w:type="dxa"/>
                  <w:vMerge w:val="restart"/>
                </w:tcPr>
                <w:p>
                  <w:pPr>
                    <w:rPr>
                      <w:rFonts w:ascii="宋体" w:hAnsi="宋体" w:cs="宋体"/>
                      <w:kern w:val="0"/>
                      <w:szCs w:val="21"/>
                    </w:rPr>
                  </w:pPr>
                  <w:r>
                    <w:rPr>
                      <w:rFonts w:hint="eastAsia" w:ascii="宋体" w:hAnsi="宋体" w:cs="宋体"/>
                      <w:kern w:val="0"/>
                      <w:szCs w:val="21"/>
                    </w:rPr>
                    <w:t>书椅</w:t>
                  </w:r>
                </w:p>
                <w:p>
                  <w:pPr>
                    <w:rPr>
                      <w:rFonts w:hint="eastAsia" w:eastAsia="宋体"/>
                      <w:b/>
                      <w:color w:val="FF0000"/>
                      <w:szCs w:val="21"/>
                      <w:lang w:eastAsia="zh-CN"/>
                    </w:rPr>
                  </w:pPr>
                  <w:r>
                    <w:rPr>
                      <w:rFonts w:hint="eastAsia" w:eastAsia="宋体"/>
                      <w:b/>
                      <w:color w:val="FF0000"/>
                      <w:szCs w:val="21"/>
                      <w:lang w:eastAsia="zh-CN"/>
                    </w:rPr>
                    <w:drawing>
                      <wp:inline distT="0" distB="0" distL="114300" distR="114300">
                        <wp:extent cx="1200785" cy="1363980"/>
                        <wp:effectExtent l="0" t="0" r="18415" b="7620"/>
                        <wp:docPr id="2" name="图片 2" descr="IMG_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207"/>
                                <pic:cNvPicPr>
                                  <a:picLocks noChangeAspect="1"/>
                                </pic:cNvPicPr>
                              </pic:nvPicPr>
                              <pic:blipFill>
                                <a:blip r:embed="rId4"/>
                                <a:stretch>
                                  <a:fillRect/>
                                </a:stretch>
                              </pic:blipFill>
                              <pic:spPr>
                                <a:xfrm>
                                  <a:off x="0" y="0"/>
                                  <a:ext cx="1200785" cy="1363980"/>
                                </a:xfrm>
                                <a:prstGeom prst="rect">
                                  <a:avLst/>
                                </a:prstGeom>
                              </pic:spPr>
                            </pic:pic>
                          </a:graphicData>
                        </a:graphic>
                      </wp:inline>
                    </w:drawing>
                  </w:r>
                </w:p>
              </w:tc>
              <w:tc>
                <w:tcPr>
                  <w:tcW w:w="1719" w:type="dxa"/>
                </w:tcPr>
                <w:p>
                  <w:pPr>
                    <w:rPr>
                      <w:b/>
                      <w:szCs w:val="21"/>
                    </w:rPr>
                  </w:pPr>
                  <w:r>
                    <w:rPr>
                      <w:rFonts w:hint="eastAsia"/>
                      <w:b/>
                      <w:szCs w:val="21"/>
                    </w:rPr>
                    <w:t>▲</w:t>
                  </w:r>
                </w:p>
              </w:tc>
              <w:tc>
                <w:tcPr>
                  <w:tcW w:w="2914" w:type="dxa"/>
                </w:tcPr>
                <w:p>
                  <w:pPr>
                    <w:rPr>
                      <w:b/>
                      <w:szCs w:val="21"/>
                    </w:rPr>
                  </w:pPr>
                  <w:r>
                    <w:rPr>
                      <w:rFonts w:hint="eastAsia"/>
                      <w:b/>
                      <w:szCs w:val="21"/>
                    </w:rPr>
                    <w:t>1.1尺寸要求：</w:t>
                  </w:r>
                  <w:r>
                    <w:rPr>
                      <w:rFonts w:hint="eastAsia" w:ascii="仿宋_GB2312" w:hAnsi="宋体" w:eastAsia="仿宋_GB2312" w:cs="宋体"/>
                      <w:color w:val="000000"/>
                      <w:kern w:val="0"/>
                      <w:szCs w:val="21"/>
                    </w:rPr>
                    <w:t>535mm×505mm×750</w:t>
                  </w: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64" w:type="dxa"/>
                  <w:vMerge w:val="continue"/>
                  <w:vAlign w:val="center"/>
                </w:tcPr>
                <w:p>
                  <w:pPr>
                    <w:jc w:val="center"/>
                    <w:rPr>
                      <w:b/>
                      <w:szCs w:val="21"/>
                    </w:rPr>
                  </w:pPr>
                </w:p>
              </w:tc>
              <w:tc>
                <w:tcPr>
                  <w:tcW w:w="2136" w:type="dxa"/>
                  <w:vMerge w:val="continue"/>
                </w:tcPr>
                <w:p>
                  <w:pPr>
                    <w:rPr>
                      <w:b/>
                      <w:color w:val="FF0000"/>
                      <w:szCs w:val="21"/>
                    </w:rPr>
                  </w:pPr>
                </w:p>
              </w:tc>
              <w:tc>
                <w:tcPr>
                  <w:tcW w:w="1719" w:type="dxa"/>
                </w:tcPr>
                <w:p>
                  <w:pPr>
                    <w:rPr>
                      <w:b/>
                      <w:szCs w:val="21"/>
                    </w:rPr>
                  </w:pPr>
                  <w:r>
                    <w:rPr>
                      <w:rFonts w:hint="eastAsia"/>
                      <w:b/>
                      <w:szCs w:val="21"/>
                    </w:rPr>
                    <w:t>▲</w:t>
                  </w:r>
                </w:p>
              </w:tc>
              <w:tc>
                <w:tcPr>
                  <w:tcW w:w="2914" w:type="dxa"/>
                </w:tcPr>
                <w:p>
                  <w:pPr>
                    <w:rPr>
                      <w:b/>
                      <w:szCs w:val="21"/>
                    </w:rPr>
                  </w:pPr>
                  <w:r>
                    <w:rPr>
                      <w:rFonts w:hint="eastAsia"/>
                      <w:b/>
                      <w:szCs w:val="21"/>
                    </w:rPr>
                    <w:t>1.2材料要求:</w:t>
                  </w:r>
                  <w:r>
                    <w:rPr>
                      <w:rFonts w:hint="eastAsia"/>
                      <w:szCs w:val="21"/>
                    </w:rPr>
                    <w:t>靠</w:t>
                  </w:r>
                  <w:r>
                    <w:rPr>
                      <w:rFonts w:hint="eastAsia" w:ascii="宋体" w:hAnsi="宋体" w:cs="宋体"/>
                      <w:kern w:val="0"/>
                      <w:szCs w:val="21"/>
                    </w:rPr>
                    <w:t>背为塑料，冲孔。座面为塑胶底板。框架为钢管，管面镀锌，管径不小于1</w:t>
                  </w:r>
                  <w:r>
                    <w:rPr>
                      <w:rFonts w:hint="eastAsia" w:ascii="宋体" w:hAnsi="宋体" w:cs="宋体"/>
                      <w:kern w:val="0"/>
                      <w:szCs w:val="21"/>
                      <w:lang w:val="en-US" w:eastAsia="zh-CN"/>
                    </w:rPr>
                    <w:t>2</w:t>
                  </w:r>
                  <w:r>
                    <w:rPr>
                      <w:rFonts w:hint="eastAsia" w:ascii="宋体" w:hAnsi="宋体" w:cs="宋体"/>
                      <w:kern w:val="0"/>
                      <w:szCs w:val="21"/>
                    </w:rPr>
                    <w:t>mm，壁厚不小于1.</w:t>
                  </w:r>
                  <w:r>
                    <w:rPr>
                      <w:rFonts w:hint="eastAsia" w:ascii="宋体" w:hAnsi="宋体" w:cs="宋体"/>
                      <w:kern w:val="0"/>
                      <w:szCs w:val="21"/>
                      <w:lang w:val="en-US" w:eastAsia="zh-CN"/>
                    </w:rPr>
                    <w:t>8</w:t>
                  </w:r>
                  <w:r>
                    <w:rPr>
                      <w:rFonts w:hint="eastAsia" w:ascii="宋体" w:hAnsi="宋体" w:cs="宋体"/>
                      <w:kern w:val="0"/>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64" w:type="dxa"/>
                  <w:vMerge w:val="continue"/>
                  <w:vAlign w:val="center"/>
                </w:tcPr>
                <w:p>
                  <w:pPr>
                    <w:jc w:val="center"/>
                    <w:rPr>
                      <w:b/>
                      <w:szCs w:val="21"/>
                    </w:rPr>
                  </w:pPr>
                </w:p>
              </w:tc>
              <w:tc>
                <w:tcPr>
                  <w:tcW w:w="2136" w:type="dxa"/>
                  <w:vMerge w:val="continue"/>
                </w:tcPr>
                <w:p>
                  <w:pPr>
                    <w:rPr>
                      <w:b/>
                      <w:color w:val="FF0000"/>
                      <w:szCs w:val="21"/>
                    </w:rPr>
                  </w:pPr>
                </w:p>
              </w:tc>
              <w:tc>
                <w:tcPr>
                  <w:tcW w:w="1719" w:type="dxa"/>
                </w:tcPr>
                <w:p>
                  <w:pPr>
                    <w:widowControl/>
                    <w:jc w:val="left"/>
                    <w:rPr>
                      <w:rFonts w:ascii="宋体" w:hAnsi="宋体" w:cs="宋体"/>
                      <w:b/>
                      <w:kern w:val="0"/>
                      <w:szCs w:val="21"/>
                    </w:rPr>
                  </w:pPr>
                  <w:r>
                    <w:rPr>
                      <w:b/>
                      <w:szCs w:val="21"/>
                    </w:rPr>
                    <w:t>*</w:t>
                  </w:r>
                </w:p>
              </w:tc>
              <w:tc>
                <w:tcPr>
                  <w:tcW w:w="2914" w:type="dxa"/>
                </w:tcPr>
                <w:p>
                  <w:pPr>
                    <w:widowControl/>
                    <w:jc w:val="left"/>
                    <w:rPr>
                      <w:rFonts w:hint="eastAsia" w:ascii="宋体" w:hAnsi="宋体" w:eastAsia="宋体" w:cs="宋体"/>
                      <w:b/>
                      <w:kern w:val="0"/>
                      <w:szCs w:val="21"/>
                      <w:lang w:val="en-US" w:eastAsia="zh-CN"/>
                    </w:rPr>
                  </w:pPr>
                  <w:r>
                    <w:rPr>
                      <w:rFonts w:hint="eastAsia" w:ascii="宋体" w:hAnsi="宋体" w:cs="宋体"/>
                      <w:b/>
                      <w:kern w:val="0"/>
                      <w:szCs w:val="21"/>
                    </w:rPr>
                    <w:t>1.3功能要求：</w:t>
                  </w:r>
                  <w:r>
                    <w:rPr>
                      <w:rFonts w:hint="eastAsia" w:ascii="宋体" w:hAnsi="宋体" w:cs="宋体"/>
                      <w:kern w:val="0"/>
                      <w:szCs w:val="21"/>
                    </w:rPr>
                    <w:t>可叠摞。4个PU脚垫。</w:t>
                  </w:r>
                  <w:r>
                    <w:rPr>
                      <w:rFonts w:hint="eastAsia" w:ascii="宋体" w:hAnsi="宋体" w:cs="宋体"/>
                      <w:kern w:val="0"/>
                      <w:szCs w:val="21"/>
                      <w:lang w:eastAsia="zh-CN"/>
                    </w:rPr>
                    <w:t>承重不小于</w:t>
                  </w:r>
                  <w:r>
                    <w:rPr>
                      <w:rFonts w:hint="eastAsia" w:ascii="宋体" w:hAnsi="宋体" w:cs="宋体"/>
                      <w:kern w:val="0"/>
                      <w:szCs w:val="21"/>
                      <w:lang w:val="en-US" w:eastAsia="zh-CN"/>
                    </w:rPr>
                    <w:t>350斤。</w:t>
                  </w:r>
                </w:p>
              </w:tc>
            </w:tr>
          </w:tbl>
          <w:p>
            <w:pPr>
              <w:jc w:val="center"/>
              <w:rPr>
                <w:rFonts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jc w:val="center"/>
        </w:trPr>
        <w:tc>
          <w:tcPr>
            <w:tcW w:w="608" w:type="dxa"/>
            <w:vAlign w:val="center"/>
          </w:tcPr>
          <w:p>
            <w:pPr>
              <w:jc w:val="center"/>
              <w:rPr>
                <w:rFonts w:cs="宋体"/>
                <w:b/>
                <w:kern w:val="0"/>
                <w:sz w:val="24"/>
              </w:rPr>
            </w:pPr>
            <w:r>
              <w:rPr>
                <w:rFonts w:hint="eastAsia" w:cs="宋体"/>
                <w:b/>
                <w:kern w:val="0"/>
                <w:sz w:val="24"/>
              </w:rPr>
              <w:t>具体商务需求</w:t>
            </w:r>
          </w:p>
          <w:p>
            <w:pPr>
              <w:jc w:val="center"/>
              <w:rPr>
                <w:rFonts w:ascii="宋体" w:hAnsi="宋体" w:cs="宋体"/>
                <w:b/>
                <w:bCs/>
                <w:kern w:val="0"/>
                <w:sz w:val="24"/>
              </w:rPr>
            </w:pPr>
          </w:p>
        </w:tc>
        <w:tc>
          <w:tcPr>
            <w:tcW w:w="9697" w:type="dxa"/>
            <w:vAlign w:val="center"/>
          </w:tcPr>
          <w:tbl>
            <w:tblPr>
              <w:tblStyle w:val="10"/>
              <w:tblW w:w="9342"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140"/>
              <w:gridCol w:w="1241"/>
              <w:gridCol w:w="2948"/>
              <w:gridCol w:w="3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64" w:type="dxa"/>
                  <w:tcBorders>
                    <w:left w:val="single" w:color="auto" w:sz="4" w:space="0"/>
                  </w:tcBorders>
                  <w:vAlign w:val="center"/>
                </w:tcPr>
                <w:p>
                  <w:pPr>
                    <w:jc w:val="center"/>
                    <w:rPr>
                      <w:rFonts w:hAnsi="宋体" w:cs="宋体"/>
                      <w:b/>
                      <w:kern w:val="0"/>
                      <w:szCs w:val="21"/>
                    </w:rPr>
                  </w:pPr>
                  <w:r>
                    <w:rPr>
                      <w:rFonts w:hint="eastAsia" w:hAnsi="宋体" w:cs="宋体"/>
                      <w:b/>
                      <w:kern w:val="0"/>
                      <w:szCs w:val="21"/>
                    </w:rPr>
                    <w:t>序号</w:t>
                  </w:r>
                </w:p>
              </w:tc>
              <w:tc>
                <w:tcPr>
                  <w:tcW w:w="1140" w:type="dxa"/>
                  <w:tcBorders>
                    <w:left w:val="single" w:color="auto" w:sz="4" w:space="0"/>
                  </w:tcBorders>
                  <w:vAlign w:val="center"/>
                </w:tcPr>
                <w:p>
                  <w:pPr>
                    <w:jc w:val="center"/>
                    <w:rPr>
                      <w:rFonts w:hAnsi="宋体" w:cs="宋体"/>
                      <w:b/>
                      <w:kern w:val="0"/>
                      <w:szCs w:val="21"/>
                    </w:rPr>
                  </w:pPr>
                  <w:r>
                    <w:rPr>
                      <w:rFonts w:hint="eastAsia" w:hAnsi="宋体" w:cs="宋体"/>
                      <w:b/>
                      <w:kern w:val="0"/>
                      <w:szCs w:val="21"/>
                    </w:rPr>
                    <w:t>项目</w:t>
                  </w:r>
                </w:p>
              </w:tc>
              <w:tc>
                <w:tcPr>
                  <w:tcW w:w="1241" w:type="dxa"/>
                  <w:tcBorders>
                    <w:left w:val="single" w:color="auto" w:sz="4" w:space="0"/>
                    <w:right w:val="single" w:color="auto" w:sz="4" w:space="0"/>
                  </w:tcBorders>
                  <w:vAlign w:val="center"/>
                </w:tcPr>
                <w:p>
                  <w:pPr>
                    <w:jc w:val="center"/>
                    <w:rPr>
                      <w:rFonts w:hAnsi="宋体" w:cs="宋体"/>
                      <w:b/>
                      <w:kern w:val="0"/>
                      <w:szCs w:val="21"/>
                    </w:rPr>
                  </w:pPr>
                  <w:r>
                    <w:rPr>
                      <w:rFonts w:hint="eastAsia" w:hAnsi="宋体" w:cs="宋体"/>
                      <w:b/>
                      <w:kern w:val="0"/>
                      <w:szCs w:val="21"/>
                    </w:rPr>
                    <w:t>重要级别</w:t>
                  </w:r>
                </w:p>
                <w:p>
                  <w:pPr>
                    <w:jc w:val="center"/>
                    <w:rPr>
                      <w:rFonts w:hAnsi="宋体" w:cs="宋体"/>
                      <w:b/>
                      <w:kern w:val="0"/>
                      <w:szCs w:val="21"/>
                    </w:rPr>
                  </w:pPr>
                  <w:r>
                    <w:rPr>
                      <w:rFonts w:hint="eastAsia" w:hAnsi="宋体" w:cs="宋体"/>
                      <w:b/>
                      <w:kern w:val="0"/>
                      <w:sz w:val="18"/>
                      <w:szCs w:val="18"/>
                    </w:rPr>
                    <w:t>（一般/▲/*）</w:t>
                  </w:r>
                </w:p>
              </w:tc>
              <w:tc>
                <w:tcPr>
                  <w:tcW w:w="2948" w:type="dxa"/>
                  <w:tcBorders>
                    <w:left w:val="single" w:color="auto" w:sz="4" w:space="0"/>
                  </w:tcBorders>
                  <w:vAlign w:val="center"/>
                </w:tcPr>
                <w:p>
                  <w:pPr>
                    <w:jc w:val="center"/>
                    <w:rPr>
                      <w:rFonts w:hAnsi="宋体" w:cs="宋体"/>
                      <w:b/>
                      <w:kern w:val="0"/>
                      <w:szCs w:val="21"/>
                    </w:rPr>
                  </w:pPr>
                  <w:r>
                    <w:rPr>
                      <w:rFonts w:hint="eastAsia" w:hAnsi="宋体" w:cs="宋体"/>
                      <w:b/>
                      <w:kern w:val="0"/>
                      <w:szCs w:val="21"/>
                    </w:rPr>
                    <w:t>类别</w:t>
                  </w:r>
                </w:p>
              </w:tc>
              <w:tc>
                <w:tcPr>
                  <w:tcW w:w="3249" w:type="dxa"/>
                  <w:vAlign w:val="center"/>
                </w:tcPr>
                <w:p>
                  <w:pPr>
                    <w:jc w:val="center"/>
                    <w:rPr>
                      <w:rFonts w:hAnsi="宋体" w:cs="宋体"/>
                      <w:b/>
                      <w:kern w:val="0"/>
                      <w:szCs w:val="21"/>
                    </w:rPr>
                  </w:pPr>
                  <w:r>
                    <w:rPr>
                      <w:rFonts w:hint="eastAsia" w:hAnsi="宋体" w:cs="宋体"/>
                      <w:b/>
                      <w:kern w:val="0"/>
                      <w:szCs w:val="21"/>
                    </w:rPr>
                    <w:t>需求内容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764" w:type="dxa"/>
                  <w:vMerge w:val="restart"/>
                  <w:tcBorders>
                    <w:left w:val="single" w:color="auto" w:sz="4" w:space="0"/>
                  </w:tcBorders>
                  <w:vAlign w:val="center"/>
                </w:tcPr>
                <w:p>
                  <w:pPr>
                    <w:jc w:val="center"/>
                    <w:rPr>
                      <w:rFonts w:ascii="宋体" w:hAnsi="宋体"/>
                      <w:bCs/>
                      <w:color w:val="000000"/>
                      <w:sz w:val="24"/>
                    </w:rPr>
                  </w:pPr>
                  <w:r>
                    <w:rPr>
                      <w:rFonts w:hint="eastAsia" w:ascii="宋体" w:hAnsi="宋体"/>
                      <w:bCs/>
                      <w:color w:val="000000"/>
                      <w:sz w:val="24"/>
                    </w:rPr>
                    <w:t>1</w:t>
                  </w:r>
                </w:p>
              </w:tc>
              <w:tc>
                <w:tcPr>
                  <w:tcW w:w="1140" w:type="dxa"/>
                  <w:vMerge w:val="restart"/>
                  <w:tcBorders>
                    <w:left w:val="single" w:color="auto" w:sz="4" w:space="0"/>
                  </w:tcBorders>
                  <w:vAlign w:val="center"/>
                </w:tcPr>
                <w:p>
                  <w:pPr>
                    <w:jc w:val="center"/>
                    <w:rPr>
                      <w:rFonts w:ascii="宋体" w:hAnsi="宋体"/>
                      <w:bCs/>
                      <w:color w:val="000000"/>
                      <w:sz w:val="24"/>
                    </w:rPr>
                  </w:pPr>
                  <w:r>
                    <w:rPr>
                      <w:rFonts w:hint="eastAsia" w:ascii="宋体" w:hAnsi="宋体"/>
                      <w:bCs/>
                      <w:color w:val="000000"/>
                      <w:sz w:val="24"/>
                    </w:rPr>
                    <w:t>交货要求；</w:t>
                  </w:r>
                </w:p>
              </w:tc>
              <w:tc>
                <w:tcPr>
                  <w:tcW w:w="1241" w:type="dxa"/>
                  <w:tcBorders>
                    <w:left w:val="single" w:color="auto" w:sz="4" w:space="0"/>
                  </w:tcBorders>
                  <w:vAlign w:val="center"/>
                </w:tcPr>
                <w:p>
                  <w:pPr>
                    <w:jc w:val="center"/>
                    <w:rPr>
                      <w:rFonts w:cs="宋体"/>
                      <w:szCs w:val="21"/>
                    </w:rPr>
                  </w:pPr>
                  <w:r>
                    <w:rPr>
                      <w:rFonts w:hint="eastAsia" w:hAnsi="宋体" w:cs="宋体"/>
                      <w:b/>
                      <w:kern w:val="0"/>
                      <w:sz w:val="18"/>
                      <w:szCs w:val="18"/>
                    </w:rPr>
                    <w:t>▲</w:t>
                  </w:r>
                </w:p>
              </w:tc>
              <w:tc>
                <w:tcPr>
                  <w:tcW w:w="2948"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交货期</w:t>
                  </w:r>
                </w:p>
              </w:tc>
              <w:tc>
                <w:tcPr>
                  <w:tcW w:w="3249"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签订合同后15日（日历日）内。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764" w:type="dxa"/>
                  <w:vMerge w:val="continue"/>
                  <w:tcBorders>
                    <w:left w:val="single" w:color="auto" w:sz="4" w:space="0"/>
                  </w:tcBorders>
                  <w:vAlign w:val="center"/>
                </w:tcPr>
                <w:p>
                  <w:pPr>
                    <w:jc w:val="center"/>
                    <w:rPr>
                      <w:rFonts w:ascii="宋体" w:hAnsi="宋体"/>
                      <w:bCs/>
                      <w:color w:val="000000"/>
                      <w:sz w:val="24"/>
                    </w:rPr>
                  </w:pPr>
                </w:p>
              </w:tc>
              <w:tc>
                <w:tcPr>
                  <w:tcW w:w="1140" w:type="dxa"/>
                  <w:vMerge w:val="continue"/>
                  <w:tcBorders>
                    <w:left w:val="single" w:color="auto" w:sz="4" w:space="0"/>
                  </w:tcBorders>
                  <w:vAlign w:val="center"/>
                </w:tcPr>
                <w:p>
                  <w:pPr>
                    <w:jc w:val="center"/>
                    <w:rPr>
                      <w:rFonts w:ascii="宋体" w:hAnsi="宋体"/>
                      <w:bCs/>
                      <w:color w:val="000000"/>
                      <w:sz w:val="24"/>
                    </w:rPr>
                  </w:pPr>
                </w:p>
              </w:tc>
              <w:tc>
                <w:tcPr>
                  <w:tcW w:w="1241" w:type="dxa"/>
                  <w:tcBorders>
                    <w:left w:val="single" w:color="auto" w:sz="4" w:space="0"/>
                  </w:tcBorders>
                  <w:vAlign w:val="center"/>
                </w:tcPr>
                <w:p>
                  <w:pPr>
                    <w:jc w:val="center"/>
                    <w:rPr>
                      <w:rFonts w:cs="宋体"/>
                      <w:szCs w:val="21"/>
                    </w:rPr>
                  </w:pPr>
                  <w:r>
                    <w:rPr>
                      <w:rFonts w:hint="eastAsia" w:hAnsi="宋体" w:cs="宋体"/>
                      <w:b/>
                      <w:kern w:val="0"/>
                      <w:sz w:val="18"/>
                      <w:szCs w:val="18"/>
                    </w:rPr>
                    <w:t>▲</w:t>
                  </w:r>
                </w:p>
              </w:tc>
              <w:tc>
                <w:tcPr>
                  <w:tcW w:w="2948"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运输要求</w:t>
                  </w:r>
                </w:p>
              </w:tc>
              <w:tc>
                <w:tcPr>
                  <w:tcW w:w="3249"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免费送货上门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vMerge w:val="continue"/>
                  <w:tcBorders>
                    <w:left w:val="single" w:color="auto" w:sz="4" w:space="0"/>
                  </w:tcBorders>
                  <w:vAlign w:val="center"/>
                </w:tcPr>
                <w:p>
                  <w:pPr>
                    <w:jc w:val="center"/>
                    <w:rPr>
                      <w:rFonts w:ascii="宋体" w:hAnsi="宋体"/>
                      <w:bCs/>
                      <w:color w:val="000000"/>
                      <w:sz w:val="24"/>
                    </w:rPr>
                  </w:pPr>
                </w:p>
              </w:tc>
              <w:tc>
                <w:tcPr>
                  <w:tcW w:w="1140" w:type="dxa"/>
                  <w:vMerge w:val="continue"/>
                  <w:tcBorders>
                    <w:left w:val="single" w:color="auto" w:sz="4" w:space="0"/>
                  </w:tcBorders>
                  <w:vAlign w:val="center"/>
                </w:tcPr>
                <w:p>
                  <w:pPr>
                    <w:jc w:val="center"/>
                    <w:rPr>
                      <w:rFonts w:ascii="宋体" w:hAnsi="宋体"/>
                      <w:bCs/>
                      <w:color w:val="000000"/>
                      <w:sz w:val="24"/>
                    </w:rPr>
                  </w:pPr>
                </w:p>
              </w:tc>
              <w:tc>
                <w:tcPr>
                  <w:tcW w:w="1241" w:type="dxa"/>
                  <w:tcBorders>
                    <w:left w:val="single" w:color="auto" w:sz="4" w:space="0"/>
                  </w:tcBorders>
                  <w:vAlign w:val="center"/>
                </w:tcPr>
                <w:p>
                  <w:pPr>
                    <w:jc w:val="center"/>
                    <w:rPr>
                      <w:rFonts w:cs="宋体"/>
                      <w:szCs w:val="21"/>
                    </w:rPr>
                  </w:pPr>
                  <w:r>
                    <w:rPr>
                      <w:rFonts w:hint="eastAsia" w:hAnsi="宋体" w:cs="宋体"/>
                      <w:b/>
                      <w:kern w:val="0"/>
                      <w:sz w:val="18"/>
                      <w:szCs w:val="18"/>
                    </w:rPr>
                    <w:t>▲</w:t>
                  </w:r>
                </w:p>
              </w:tc>
              <w:tc>
                <w:tcPr>
                  <w:tcW w:w="2948"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安装调试</w:t>
                  </w:r>
                </w:p>
              </w:tc>
              <w:tc>
                <w:tcPr>
                  <w:tcW w:w="3249"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免费安装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764" w:type="dxa"/>
                  <w:vMerge w:val="continue"/>
                  <w:tcBorders>
                    <w:left w:val="single" w:color="auto" w:sz="4" w:space="0"/>
                  </w:tcBorders>
                  <w:vAlign w:val="center"/>
                </w:tcPr>
                <w:p>
                  <w:pPr>
                    <w:jc w:val="center"/>
                    <w:rPr>
                      <w:rFonts w:ascii="宋体" w:hAnsi="宋体"/>
                      <w:bCs/>
                      <w:color w:val="000000"/>
                      <w:sz w:val="24"/>
                    </w:rPr>
                  </w:pPr>
                </w:p>
              </w:tc>
              <w:tc>
                <w:tcPr>
                  <w:tcW w:w="1140" w:type="dxa"/>
                  <w:vMerge w:val="continue"/>
                  <w:tcBorders>
                    <w:left w:val="single" w:color="auto" w:sz="4" w:space="0"/>
                  </w:tcBorders>
                  <w:vAlign w:val="center"/>
                </w:tcPr>
                <w:p>
                  <w:pPr>
                    <w:jc w:val="center"/>
                    <w:rPr>
                      <w:rFonts w:ascii="宋体" w:hAnsi="宋体"/>
                      <w:bCs/>
                      <w:color w:val="000000"/>
                      <w:sz w:val="24"/>
                    </w:rPr>
                  </w:pPr>
                </w:p>
              </w:tc>
              <w:tc>
                <w:tcPr>
                  <w:tcW w:w="1241" w:type="dxa"/>
                  <w:tcBorders>
                    <w:left w:val="single" w:color="auto" w:sz="4" w:space="0"/>
                  </w:tcBorders>
                  <w:vAlign w:val="center"/>
                </w:tcPr>
                <w:p>
                  <w:pPr>
                    <w:jc w:val="center"/>
                    <w:rPr>
                      <w:rFonts w:cs="宋体"/>
                      <w:szCs w:val="21"/>
                    </w:rPr>
                  </w:pPr>
                  <w:r>
                    <w:rPr>
                      <w:rFonts w:hint="eastAsia" w:hAnsi="宋体" w:cs="宋体"/>
                      <w:b/>
                      <w:kern w:val="0"/>
                      <w:sz w:val="18"/>
                      <w:szCs w:val="18"/>
                    </w:rPr>
                    <w:t>*</w:t>
                  </w:r>
                </w:p>
              </w:tc>
              <w:tc>
                <w:tcPr>
                  <w:tcW w:w="2948"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产品、货物说明书/检测报告</w:t>
                  </w:r>
                </w:p>
              </w:tc>
              <w:tc>
                <w:tcPr>
                  <w:tcW w:w="3249"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产品合格证明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rPr>
                  </w:pPr>
                  <w:r>
                    <w:rPr>
                      <w:rFonts w:hint="eastAsia" w:ascii="宋体" w:hAnsi="宋体"/>
                      <w:bCs/>
                      <w:color w:val="000000"/>
                      <w:sz w:val="24"/>
                    </w:rPr>
                    <w:t>2</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rPr>
                  </w:pPr>
                  <w:r>
                    <w:rPr>
                      <w:rFonts w:hint="eastAsia" w:ascii="宋体" w:hAnsi="宋体"/>
                      <w:bCs/>
                      <w:color w:val="000000"/>
                      <w:sz w:val="24"/>
                    </w:rPr>
                    <w:t>付款方式：</w:t>
                  </w:r>
                </w:p>
              </w:tc>
              <w:tc>
                <w:tcPr>
                  <w:tcW w:w="1241"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b/>
                      <w:kern w:val="0"/>
                      <w:szCs w:val="21"/>
                    </w:rPr>
                  </w:pPr>
                </w:p>
              </w:tc>
              <w:tc>
                <w:tcPr>
                  <w:tcW w:w="2948" w:type="dxa"/>
                  <w:tcBorders>
                    <w:top w:val="single" w:color="auto" w:sz="4" w:space="0"/>
                    <w:left w:val="single" w:color="auto" w:sz="4" w:space="0"/>
                    <w:bottom w:val="single" w:color="auto" w:sz="4" w:space="0"/>
                    <w:right w:val="single" w:color="auto" w:sz="4" w:space="0"/>
                  </w:tcBorders>
                  <w:vAlign w:val="center"/>
                </w:tcPr>
                <w:p>
                  <w:pPr>
                    <w:rPr>
                      <w:rFonts w:hAnsi="宋体" w:cs="宋体"/>
                      <w:b/>
                      <w:kern w:val="0"/>
                      <w:szCs w:val="21"/>
                    </w:rPr>
                  </w:pPr>
                  <w:r>
                    <w:rPr>
                      <w:rFonts w:hint="eastAsia" w:hAnsi="宋体" w:cs="宋体"/>
                      <w:b/>
                      <w:kern w:val="0"/>
                      <w:szCs w:val="21"/>
                    </w:rPr>
                    <w:t>付款方式的约定</w:t>
                  </w:r>
                </w:p>
              </w:tc>
              <w:tc>
                <w:tcPr>
                  <w:tcW w:w="3249" w:type="dxa"/>
                  <w:tcBorders>
                    <w:top w:val="single" w:color="auto" w:sz="4" w:space="0"/>
                    <w:left w:val="single" w:color="auto" w:sz="4" w:space="0"/>
                    <w:bottom w:val="single" w:color="auto" w:sz="4" w:space="0"/>
                    <w:right w:val="single" w:color="auto" w:sz="4" w:space="0"/>
                  </w:tcBorders>
                  <w:vAlign w:val="center"/>
                </w:tcPr>
                <w:p>
                  <w:pPr>
                    <w:jc w:val="left"/>
                    <w:rPr>
                      <w:rFonts w:hAnsi="宋体" w:cs="宋体"/>
                      <w:color w:val="FF0000"/>
                      <w:kern w:val="0"/>
                      <w:sz w:val="18"/>
                      <w:szCs w:val="18"/>
                    </w:rPr>
                  </w:pPr>
                  <w:r>
                    <w:rPr>
                      <w:rFonts w:hint="eastAsia" w:ascii="宋体" w:hAnsi="宋体"/>
                      <w:bCs/>
                      <w:color w:val="000000"/>
                      <w:sz w:val="24"/>
                    </w:rPr>
                    <w:t>货到付款，待货到买方现场，安装调试、验收合格后10个工作日内，买方向卖方一次性全额支付合同价款</w:t>
                  </w:r>
                </w:p>
              </w:tc>
            </w:tr>
          </w:tbl>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4" w:hRule="atLeast"/>
          <w:jc w:val="center"/>
        </w:trPr>
        <w:tc>
          <w:tcPr>
            <w:tcW w:w="608" w:type="dxa"/>
            <w:vAlign w:val="center"/>
          </w:tcPr>
          <w:p>
            <w:pPr>
              <w:jc w:val="center"/>
              <w:rPr>
                <w:rFonts w:cs="宋体"/>
                <w:b/>
                <w:kern w:val="0"/>
                <w:sz w:val="24"/>
              </w:rPr>
            </w:pPr>
            <w:r>
              <w:rPr>
                <w:rFonts w:hint="eastAsia" w:cs="宋体"/>
                <w:b/>
                <w:kern w:val="0"/>
                <w:sz w:val="24"/>
                <w:highlight w:val="yellow"/>
              </w:rPr>
              <w:t>合同模板</w:t>
            </w:r>
          </w:p>
        </w:tc>
        <w:tc>
          <w:tcPr>
            <w:tcW w:w="9697" w:type="dxa"/>
          </w:tcPr>
          <w:p>
            <w:pPr>
              <w:jc w:val="center"/>
              <w:rPr>
                <w:rFonts w:ascii="宋体" w:hAnsi="宋体"/>
                <w:b/>
                <w:color w:val="000000" w:themeColor="text1"/>
                <w:sz w:val="32"/>
                <w:szCs w:val="32"/>
              </w:rPr>
            </w:pPr>
            <w:r>
              <w:rPr>
                <w:rFonts w:hint="eastAsia" w:ascii="宋体" w:hAnsi="宋体"/>
                <w:b/>
                <w:color w:val="000000" w:themeColor="text1"/>
                <w:sz w:val="32"/>
                <w:szCs w:val="32"/>
              </w:rPr>
              <w:t>合同条款及格式</w:t>
            </w:r>
          </w:p>
          <w:p>
            <w:pPr>
              <w:spacing w:afterLines="100" w:line="360" w:lineRule="auto"/>
              <w:outlineLvl w:val="0"/>
              <w:rPr>
                <w:rFonts w:ascii="宋体" w:hAnsi="宋体"/>
                <w:b/>
                <w:color w:val="000000"/>
                <w:sz w:val="32"/>
                <w:szCs w:val="32"/>
              </w:rPr>
            </w:pPr>
            <w:r>
              <w:rPr>
                <w:rFonts w:hint="eastAsia" w:ascii="宋体" w:hAnsi="宋体"/>
                <w:b/>
                <w:color w:val="000000"/>
                <w:sz w:val="24"/>
              </w:rPr>
              <w:t>甲方(需方)：</w:t>
            </w:r>
            <w:r>
              <w:rPr>
                <w:rFonts w:hint="eastAsia" w:ascii="宋体" w:hAnsi="宋体"/>
                <w:b/>
                <w:color w:val="000000"/>
                <w:sz w:val="24"/>
                <w:u w:val="single"/>
              </w:rPr>
              <w:t>深圳信息职业技术学院</w:t>
            </w:r>
          </w:p>
          <w:p>
            <w:pPr>
              <w:spacing w:line="360" w:lineRule="auto"/>
              <w:rPr>
                <w:rFonts w:ascii="宋体" w:hAnsi="宋体"/>
                <w:b/>
                <w:color w:val="000000"/>
                <w:sz w:val="24"/>
                <w:u w:val="single"/>
              </w:rPr>
            </w:pPr>
            <w:r>
              <w:rPr>
                <w:rFonts w:hint="eastAsia" w:ascii="宋体" w:hAnsi="宋体"/>
                <w:b/>
                <w:color w:val="000000"/>
                <w:sz w:val="24"/>
              </w:rPr>
              <w:t>乙方(供方）：</w:t>
            </w:r>
          </w:p>
          <w:p>
            <w:pPr>
              <w:spacing w:line="360" w:lineRule="auto"/>
              <w:rPr>
                <w:rFonts w:ascii="宋体" w:hAnsi="宋体"/>
                <w:bCs/>
                <w:color w:val="000000"/>
                <w:szCs w:val="21"/>
              </w:rPr>
            </w:pPr>
            <w:r>
              <w:rPr>
                <w:rFonts w:hint="eastAsia" w:ascii="宋体" w:hAnsi="宋体"/>
                <w:bCs/>
                <w:color w:val="000000"/>
                <w:szCs w:val="21"/>
              </w:rPr>
              <w:t>甲方联系人：姓名：           电话：           手机：</w:t>
            </w:r>
          </w:p>
          <w:p>
            <w:pPr>
              <w:spacing w:line="360" w:lineRule="auto"/>
              <w:rPr>
                <w:rFonts w:ascii="宋体" w:hAnsi="宋体"/>
                <w:bCs/>
                <w:color w:val="000000"/>
                <w:szCs w:val="21"/>
              </w:rPr>
            </w:pPr>
            <w:r>
              <w:rPr>
                <w:rFonts w:hint="eastAsia" w:ascii="宋体" w:hAnsi="宋体"/>
                <w:bCs/>
                <w:color w:val="000000"/>
                <w:szCs w:val="21"/>
              </w:rPr>
              <w:t xml:space="preserve">            地址：           校区       学院（系、中心）      </w:t>
            </w:r>
          </w:p>
          <w:p>
            <w:pPr>
              <w:spacing w:line="360" w:lineRule="auto"/>
              <w:rPr>
                <w:rFonts w:ascii="宋体" w:hAnsi="宋体"/>
                <w:bCs/>
                <w:color w:val="000000"/>
                <w:szCs w:val="21"/>
              </w:rPr>
            </w:pPr>
            <w:r>
              <w:rPr>
                <w:rFonts w:hint="eastAsia" w:ascii="宋体" w:hAnsi="宋体"/>
                <w:bCs/>
                <w:color w:val="000000"/>
                <w:szCs w:val="21"/>
              </w:rPr>
              <w:t xml:space="preserve">            邮政编码：518000</w:t>
            </w:r>
          </w:p>
          <w:p>
            <w:pPr>
              <w:spacing w:line="360" w:lineRule="auto"/>
              <w:rPr>
                <w:rFonts w:ascii="宋体" w:hAnsi="宋体"/>
                <w:bCs/>
                <w:color w:val="000000"/>
                <w:szCs w:val="21"/>
              </w:rPr>
            </w:pPr>
            <w:r>
              <w:rPr>
                <w:rFonts w:hint="eastAsia" w:ascii="宋体" w:hAnsi="宋体"/>
                <w:bCs/>
                <w:color w:val="000000"/>
                <w:szCs w:val="21"/>
              </w:rPr>
              <w:t>乙方联系人：姓名：           电话：           手机：</w:t>
            </w:r>
          </w:p>
          <w:p>
            <w:pPr>
              <w:spacing w:line="360" w:lineRule="auto"/>
              <w:rPr>
                <w:rFonts w:ascii="宋体" w:hAnsi="宋体"/>
                <w:bCs/>
                <w:color w:val="000000"/>
                <w:szCs w:val="21"/>
              </w:rPr>
            </w:pPr>
            <w:r>
              <w:rPr>
                <w:rFonts w:hint="eastAsia" w:ascii="宋体" w:hAnsi="宋体"/>
                <w:bCs/>
                <w:color w:val="000000"/>
                <w:szCs w:val="21"/>
              </w:rPr>
              <w:t xml:space="preserve">            地址：                     邮政编码</w:t>
            </w:r>
            <w:r>
              <w:rPr>
                <w:rFonts w:hint="eastAsia" w:ascii="宋体" w:hAnsi="宋体"/>
                <w:b/>
                <w:bCs/>
                <w:color w:val="000000"/>
                <w:sz w:val="24"/>
              </w:rPr>
              <w:t>：</w:t>
            </w:r>
          </w:p>
          <w:p>
            <w:pPr>
              <w:spacing w:line="360" w:lineRule="auto"/>
              <w:ind w:firstLine="480" w:firstLineChars="200"/>
              <w:rPr>
                <w:sz w:val="24"/>
              </w:rPr>
            </w:pPr>
            <w:r>
              <w:rPr>
                <w:rFonts w:hint="eastAsia"/>
                <w:sz w:val="24"/>
              </w:rPr>
              <w:t>按照《中华人民共和国合同法》和《深圳经济特区政府采购条例》，经深圳信息职业技术学院（以下简称甲方）和     （以下简称乙方）协商，达成以下合同条款：</w:t>
            </w:r>
          </w:p>
          <w:p>
            <w:pPr>
              <w:spacing w:line="360" w:lineRule="auto"/>
              <w:ind w:firstLine="480" w:firstLineChars="200"/>
              <w:rPr>
                <w:sz w:val="24"/>
              </w:rPr>
            </w:pPr>
          </w:p>
          <w:p>
            <w:pPr>
              <w:pStyle w:val="4"/>
              <w:spacing w:line="360" w:lineRule="auto"/>
              <w:ind w:left="482" w:hanging="482"/>
              <w:rPr>
                <w:rFonts w:hAnsi="宋体"/>
                <w:bCs/>
                <w:color w:val="000000"/>
                <w:sz w:val="24"/>
                <w:szCs w:val="24"/>
              </w:rPr>
            </w:pPr>
            <w:r>
              <w:rPr>
                <w:rFonts w:hint="eastAsia" w:hAnsi="宋体"/>
                <w:bCs/>
                <w:color w:val="000000"/>
                <w:sz w:val="24"/>
                <w:szCs w:val="24"/>
              </w:rPr>
              <w:t>一、合同标的及价款</w:t>
            </w:r>
          </w:p>
          <w:p>
            <w:pPr>
              <w:pStyle w:val="4"/>
              <w:numPr>
                <w:ilvl w:val="0"/>
                <w:numId w:val="2"/>
              </w:numPr>
              <w:spacing w:line="360" w:lineRule="auto"/>
              <w:ind w:hanging="135"/>
              <w:rPr>
                <w:rFonts w:hAnsi="宋体"/>
                <w:b/>
                <w:bCs/>
                <w:color w:val="000000"/>
                <w:sz w:val="24"/>
                <w:szCs w:val="24"/>
              </w:rPr>
            </w:pPr>
            <w:r>
              <w:rPr>
                <w:rFonts w:hint="eastAsia" w:hAnsi="宋体"/>
                <w:b/>
                <w:bCs/>
                <w:color w:val="000000"/>
                <w:sz w:val="24"/>
                <w:szCs w:val="24"/>
              </w:rPr>
              <w:t>合同标的</w:t>
            </w:r>
          </w:p>
          <w:p>
            <w:pPr>
              <w:pStyle w:val="4"/>
              <w:numPr>
                <w:ilvl w:val="0"/>
                <w:numId w:val="3"/>
              </w:numPr>
              <w:spacing w:line="360" w:lineRule="auto"/>
              <w:rPr>
                <w:rFonts w:hAnsi="宋体"/>
                <w:bCs/>
                <w:color w:val="000000"/>
                <w:sz w:val="24"/>
                <w:szCs w:val="24"/>
              </w:rPr>
            </w:pPr>
            <w:r>
              <w:rPr>
                <w:rFonts w:hint="eastAsia" w:hAnsi="宋体"/>
                <w:bCs/>
                <w:color w:val="000000"/>
                <w:sz w:val="24"/>
                <w:szCs w:val="24"/>
              </w:rPr>
              <w:t>乙方根据甲方需求提供下列货物：</w:t>
            </w:r>
          </w:p>
          <w:tbl>
            <w:tblPr>
              <w:tblStyle w:val="10"/>
              <w:tblW w:w="9186"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198"/>
              <w:gridCol w:w="2268"/>
              <w:gridCol w:w="709"/>
              <w:gridCol w:w="850"/>
              <w:gridCol w:w="1053"/>
              <w:gridCol w:w="109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924"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序号</w:t>
                  </w:r>
                </w:p>
              </w:tc>
              <w:tc>
                <w:tcPr>
                  <w:tcW w:w="1198" w:type="dxa"/>
                </w:tcPr>
                <w:p>
                  <w:pPr>
                    <w:pStyle w:val="4"/>
                    <w:spacing w:line="360" w:lineRule="auto"/>
                    <w:ind w:left="482" w:hanging="482"/>
                    <w:rPr>
                      <w:rFonts w:hAnsi="宋体"/>
                      <w:bCs/>
                      <w:color w:val="000000"/>
                      <w:sz w:val="24"/>
                      <w:szCs w:val="24"/>
                    </w:rPr>
                  </w:pPr>
                  <w:r>
                    <w:rPr>
                      <w:rFonts w:hint="eastAsia" w:hAnsi="宋体"/>
                      <w:bCs/>
                      <w:color w:val="000000"/>
                      <w:sz w:val="24"/>
                      <w:szCs w:val="24"/>
                    </w:rPr>
                    <w:t>名称（摘要）</w:t>
                  </w:r>
                </w:p>
              </w:tc>
              <w:tc>
                <w:tcPr>
                  <w:tcW w:w="2268"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规格型号</w:t>
                  </w:r>
                </w:p>
              </w:tc>
              <w:tc>
                <w:tcPr>
                  <w:tcW w:w="709"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单位</w:t>
                  </w:r>
                </w:p>
              </w:tc>
              <w:tc>
                <w:tcPr>
                  <w:tcW w:w="850"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数量</w:t>
                  </w:r>
                </w:p>
              </w:tc>
              <w:tc>
                <w:tcPr>
                  <w:tcW w:w="1053"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单价（元）</w:t>
                  </w:r>
                </w:p>
              </w:tc>
              <w:tc>
                <w:tcPr>
                  <w:tcW w:w="1092"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合计</w:t>
                  </w:r>
                </w:p>
              </w:tc>
              <w:tc>
                <w:tcPr>
                  <w:tcW w:w="1092" w:type="dxa"/>
                  <w:vAlign w:val="center"/>
                </w:tcPr>
                <w:p>
                  <w:pPr>
                    <w:pStyle w:val="4"/>
                    <w:spacing w:line="360" w:lineRule="auto"/>
                    <w:ind w:left="482" w:hanging="482"/>
                    <w:rPr>
                      <w:rFonts w:hAnsi="宋体"/>
                      <w:bCs/>
                      <w:color w:val="000000"/>
                      <w:sz w:val="24"/>
                      <w:szCs w:val="24"/>
                    </w:rPr>
                  </w:pPr>
                  <w:r>
                    <w:rPr>
                      <w:rFonts w:hint="eastAsia" w:hAnsi="宋体"/>
                      <w:bCs/>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924" w:type="dxa"/>
                </w:tcPr>
                <w:p>
                  <w:pPr>
                    <w:pStyle w:val="4"/>
                    <w:spacing w:line="360" w:lineRule="auto"/>
                    <w:ind w:left="482" w:hanging="482"/>
                    <w:rPr>
                      <w:rFonts w:hAnsi="宋体"/>
                      <w:bCs/>
                      <w:color w:val="000000"/>
                      <w:sz w:val="24"/>
                      <w:szCs w:val="24"/>
                    </w:rPr>
                  </w:pPr>
                  <w:r>
                    <w:rPr>
                      <w:rFonts w:hint="eastAsia" w:hAnsi="宋体"/>
                      <w:bCs/>
                      <w:color w:val="000000"/>
                      <w:sz w:val="24"/>
                      <w:szCs w:val="24"/>
                    </w:rPr>
                    <w:t>1</w:t>
                  </w:r>
                </w:p>
              </w:tc>
              <w:tc>
                <w:tcPr>
                  <w:tcW w:w="1198" w:type="dxa"/>
                </w:tcPr>
                <w:p>
                  <w:pPr>
                    <w:pStyle w:val="4"/>
                    <w:spacing w:line="360" w:lineRule="auto"/>
                    <w:ind w:left="482" w:hanging="482"/>
                    <w:rPr>
                      <w:rFonts w:hAnsi="宋体"/>
                      <w:bCs/>
                      <w:color w:val="000000"/>
                      <w:sz w:val="24"/>
                      <w:szCs w:val="24"/>
                    </w:rPr>
                  </w:pPr>
                  <w:r>
                    <w:rPr>
                      <w:rFonts w:hint="eastAsia" w:hAnsi="宋体"/>
                      <w:bCs/>
                      <w:color w:val="000000"/>
                      <w:sz w:val="24"/>
                      <w:szCs w:val="24"/>
                    </w:rPr>
                    <w:t>书椅</w:t>
                  </w:r>
                </w:p>
                <w:p>
                  <w:pPr>
                    <w:pStyle w:val="4"/>
                    <w:spacing w:line="360" w:lineRule="auto"/>
                    <w:ind w:left="482" w:hanging="482"/>
                    <w:rPr>
                      <w:rFonts w:hAnsi="宋体"/>
                      <w:bCs/>
                      <w:color w:val="000000"/>
                      <w:sz w:val="24"/>
                      <w:szCs w:val="24"/>
                    </w:rPr>
                  </w:pPr>
                </w:p>
              </w:tc>
              <w:tc>
                <w:tcPr>
                  <w:tcW w:w="2268" w:type="dxa"/>
                </w:tcPr>
                <w:p>
                  <w:pPr>
                    <w:pStyle w:val="4"/>
                    <w:spacing w:line="360" w:lineRule="auto"/>
                    <w:ind w:left="482" w:hanging="482"/>
                    <w:rPr>
                      <w:b/>
                      <w:szCs w:val="21"/>
                    </w:rPr>
                  </w:pPr>
                  <w:r>
                    <w:rPr>
                      <w:rFonts w:hint="eastAsia"/>
                      <w:b/>
                      <w:szCs w:val="21"/>
                    </w:rPr>
                    <w:t>尺寸要求：</w:t>
                  </w:r>
                </w:p>
                <w:p>
                  <w:pPr>
                    <w:pStyle w:val="4"/>
                    <w:spacing w:line="240" w:lineRule="exact"/>
                    <w:rPr>
                      <w:rFonts w:hAnsi="宋体" w:cs="宋体"/>
                      <w:color w:val="000000"/>
                      <w:kern w:val="0"/>
                      <w:szCs w:val="21"/>
                    </w:rPr>
                  </w:pPr>
                  <w:r>
                    <w:rPr>
                      <w:rFonts w:hint="eastAsia" w:ascii="仿宋_GB2312" w:hAnsi="宋体" w:eastAsia="仿宋_GB2312" w:cs="宋体"/>
                      <w:color w:val="000000"/>
                      <w:kern w:val="0"/>
                      <w:szCs w:val="21"/>
                    </w:rPr>
                    <w:t>535mm×505mm×750</w:t>
                  </w:r>
                  <w:r>
                    <w:rPr>
                      <w:rFonts w:hint="eastAsia" w:hAnsi="宋体" w:cs="宋体"/>
                      <w:color w:val="000000"/>
                      <w:kern w:val="0"/>
                      <w:szCs w:val="21"/>
                    </w:rPr>
                    <w:t>㎜</w:t>
                  </w:r>
                </w:p>
                <w:p>
                  <w:pPr>
                    <w:pStyle w:val="4"/>
                    <w:spacing w:line="240" w:lineRule="exact"/>
                    <w:rPr>
                      <w:rFonts w:hAnsi="宋体" w:cs="宋体"/>
                      <w:kern w:val="0"/>
                      <w:szCs w:val="21"/>
                    </w:rPr>
                  </w:pPr>
                  <w:r>
                    <w:rPr>
                      <w:rFonts w:hint="eastAsia"/>
                      <w:b/>
                      <w:szCs w:val="21"/>
                    </w:rPr>
                    <w:t>材料要求:</w:t>
                  </w:r>
                  <w:r>
                    <w:rPr>
                      <w:rFonts w:hint="eastAsia"/>
                      <w:szCs w:val="21"/>
                    </w:rPr>
                    <w:t>靠</w:t>
                  </w:r>
                  <w:r>
                    <w:rPr>
                      <w:rFonts w:hint="eastAsia" w:hAnsi="宋体" w:cs="宋体"/>
                      <w:kern w:val="0"/>
                      <w:szCs w:val="21"/>
                    </w:rPr>
                    <w:t>背为塑料，冲孔。座面为塑胶底板。框架为钢管，管面镀锌，管径不小于1</w:t>
                  </w:r>
                  <w:r>
                    <w:rPr>
                      <w:rFonts w:hint="eastAsia" w:hAnsi="宋体" w:cs="宋体"/>
                      <w:kern w:val="0"/>
                      <w:szCs w:val="21"/>
                      <w:lang w:val="en-US" w:eastAsia="zh-CN"/>
                    </w:rPr>
                    <w:t>2</w:t>
                  </w:r>
                  <w:r>
                    <w:rPr>
                      <w:rFonts w:hint="eastAsia" w:hAnsi="宋体" w:cs="宋体"/>
                      <w:kern w:val="0"/>
                      <w:szCs w:val="21"/>
                    </w:rPr>
                    <w:t>mm，壁厚不小于1.</w:t>
                  </w:r>
                  <w:r>
                    <w:rPr>
                      <w:rFonts w:hint="eastAsia" w:hAnsi="宋体" w:cs="宋体"/>
                      <w:kern w:val="0"/>
                      <w:szCs w:val="21"/>
                      <w:lang w:val="en-US" w:eastAsia="zh-CN"/>
                    </w:rPr>
                    <w:t>8</w:t>
                  </w:r>
                  <w:r>
                    <w:rPr>
                      <w:rFonts w:hint="eastAsia" w:hAnsi="宋体" w:cs="宋体"/>
                      <w:kern w:val="0"/>
                      <w:szCs w:val="21"/>
                    </w:rPr>
                    <w:t>mm。</w:t>
                  </w:r>
                </w:p>
                <w:p>
                  <w:pPr>
                    <w:pStyle w:val="4"/>
                    <w:spacing w:line="240" w:lineRule="exact"/>
                    <w:rPr>
                      <w:rFonts w:hint="eastAsia" w:hAnsi="宋体" w:eastAsia="宋体"/>
                      <w:bCs/>
                      <w:color w:val="000000"/>
                      <w:sz w:val="24"/>
                      <w:szCs w:val="24"/>
                      <w:lang w:val="en-US" w:eastAsia="zh-CN"/>
                    </w:rPr>
                  </w:pPr>
                  <w:r>
                    <w:rPr>
                      <w:rFonts w:hint="eastAsia" w:hAnsi="宋体" w:cs="宋体"/>
                      <w:b/>
                      <w:kern w:val="0"/>
                      <w:szCs w:val="21"/>
                    </w:rPr>
                    <w:t>功能要求：</w:t>
                  </w:r>
                  <w:r>
                    <w:rPr>
                      <w:rFonts w:hint="eastAsia" w:hAnsi="宋体" w:cs="宋体"/>
                      <w:kern w:val="0"/>
                      <w:szCs w:val="21"/>
                    </w:rPr>
                    <w:t>可叠摞。4个PU脚垫。</w:t>
                  </w:r>
                  <w:r>
                    <w:rPr>
                      <w:rFonts w:hint="eastAsia" w:hAnsi="宋体" w:cs="宋体"/>
                      <w:kern w:val="0"/>
                      <w:szCs w:val="21"/>
                      <w:lang w:eastAsia="zh-CN"/>
                    </w:rPr>
                    <w:t>承重不小于</w:t>
                  </w:r>
                  <w:r>
                    <w:rPr>
                      <w:rFonts w:hint="eastAsia" w:hAnsi="宋体" w:cs="宋体"/>
                      <w:kern w:val="0"/>
                      <w:szCs w:val="21"/>
                      <w:lang w:val="en-US" w:eastAsia="zh-CN"/>
                    </w:rPr>
                    <w:t>350斤。</w:t>
                  </w:r>
                </w:p>
              </w:tc>
              <w:tc>
                <w:tcPr>
                  <w:tcW w:w="709" w:type="dxa"/>
                </w:tcPr>
                <w:p>
                  <w:pPr>
                    <w:pStyle w:val="4"/>
                    <w:spacing w:line="360" w:lineRule="auto"/>
                    <w:ind w:left="482" w:hanging="482"/>
                    <w:rPr>
                      <w:rFonts w:hAnsi="宋体"/>
                      <w:bCs/>
                      <w:color w:val="000000"/>
                      <w:sz w:val="24"/>
                      <w:szCs w:val="24"/>
                    </w:rPr>
                  </w:pPr>
                  <w:r>
                    <w:rPr>
                      <w:rFonts w:hint="eastAsia" w:hAnsi="宋体"/>
                      <w:bCs/>
                      <w:color w:val="000000"/>
                      <w:sz w:val="24"/>
                      <w:szCs w:val="24"/>
                    </w:rPr>
                    <w:t>把</w:t>
                  </w:r>
                </w:p>
              </w:tc>
              <w:tc>
                <w:tcPr>
                  <w:tcW w:w="850" w:type="dxa"/>
                </w:tcPr>
                <w:p>
                  <w:pPr>
                    <w:pStyle w:val="4"/>
                    <w:spacing w:line="360" w:lineRule="auto"/>
                    <w:ind w:left="482" w:hanging="482"/>
                    <w:rPr>
                      <w:rFonts w:hAnsi="宋体"/>
                      <w:bCs/>
                      <w:color w:val="000000"/>
                      <w:sz w:val="24"/>
                      <w:szCs w:val="24"/>
                    </w:rPr>
                  </w:pPr>
                  <w:r>
                    <w:rPr>
                      <w:rFonts w:hint="eastAsia" w:hAnsi="宋体"/>
                      <w:bCs/>
                      <w:color w:val="000000"/>
                      <w:sz w:val="24"/>
                      <w:szCs w:val="24"/>
                    </w:rPr>
                    <w:t>1500</w:t>
                  </w:r>
                </w:p>
              </w:tc>
              <w:tc>
                <w:tcPr>
                  <w:tcW w:w="1053" w:type="dxa"/>
                </w:tcPr>
                <w:p>
                  <w:pPr>
                    <w:pStyle w:val="4"/>
                    <w:spacing w:line="360" w:lineRule="auto"/>
                    <w:ind w:left="482" w:hanging="482"/>
                    <w:rPr>
                      <w:rFonts w:hAnsi="宋体"/>
                      <w:bCs/>
                      <w:color w:val="000000"/>
                      <w:sz w:val="24"/>
                      <w:szCs w:val="24"/>
                    </w:rPr>
                  </w:pPr>
                </w:p>
              </w:tc>
              <w:tc>
                <w:tcPr>
                  <w:tcW w:w="1092" w:type="dxa"/>
                </w:tcPr>
                <w:p>
                  <w:pPr>
                    <w:pStyle w:val="4"/>
                    <w:spacing w:line="360" w:lineRule="auto"/>
                    <w:ind w:left="482" w:hanging="482"/>
                    <w:rPr>
                      <w:rFonts w:hAnsi="宋体"/>
                      <w:bCs/>
                      <w:color w:val="000000"/>
                      <w:sz w:val="24"/>
                      <w:szCs w:val="24"/>
                    </w:rPr>
                  </w:pPr>
                </w:p>
              </w:tc>
              <w:tc>
                <w:tcPr>
                  <w:tcW w:w="1092" w:type="dxa"/>
                </w:tcPr>
                <w:p>
                  <w:pPr>
                    <w:pStyle w:val="4"/>
                    <w:spacing w:line="360" w:lineRule="auto"/>
                    <w:ind w:left="482" w:hanging="482"/>
                    <w:rPr>
                      <w:rFonts w:hAnsi="宋体"/>
                      <w:bCs/>
                      <w:color w:val="000000"/>
                      <w:sz w:val="24"/>
                      <w:szCs w:val="24"/>
                    </w:rPr>
                  </w:pPr>
                </w:p>
              </w:tc>
            </w:tr>
          </w:tbl>
          <w:p>
            <w:pPr>
              <w:pStyle w:val="4"/>
              <w:numPr>
                <w:ilvl w:val="0"/>
                <w:numId w:val="3"/>
              </w:numPr>
              <w:spacing w:line="360" w:lineRule="auto"/>
              <w:rPr>
                <w:rFonts w:hAnsi="宋体"/>
                <w:color w:val="000000"/>
                <w:szCs w:val="21"/>
              </w:rPr>
            </w:pPr>
            <w:r>
              <w:rPr>
                <w:rFonts w:hint="eastAsia" w:hAnsi="宋体"/>
                <w:bCs/>
                <w:color w:val="000000"/>
                <w:sz w:val="24"/>
                <w:szCs w:val="24"/>
              </w:rPr>
              <w:t xml:space="preserve">货物名称、规格及数量详见 </w:t>
            </w:r>
            <w:r>
              <w:rPr>
                <w:rFonts w:hint="eastAsia" w:hAnsi="宋体"/>
                <w:color w:val="000000"/>
                <w:szCs w:val="21"/>
              </w:rPr>
              <w:t>。</w:t>
            </w:r>
          </w:p>
          <w:p>
            <w:pPr>
              <w:pStyle w:val="4"/>
              <w:numPr>
                <w:ilvl w:val="0"/>
                <w:numId w:val="2"/>
              </w:numPr>
              <w:spacing w:line="360" w:lineRule="auto"/>
              <w:ind w:hanging="135"/>
              <w:rPr>
                <w:rFonts w:hAnsi="宋体"/>
                <w:b/>
                <w:bCs/>
                <w:color w:val="000000"/>
                <w:sz w:val="24"/>
                <w:szCs w:val="24"/>
              </w:rPr>
            </w:pPr>
            <w:r>
              <w:rPr>
                <w:rFonts w:hint="eastAsia" w:hAnsi="宋体"/>
                <w:b/>
                <w:bCs/>
                <w:color w:val="000000"/>
                <w:sz w:val="24"/>
                <w:szCs w:val="24"/>
              </w:rPr>
              <w:t>合同价款：</w:t>
            </w:r>
          </w:p>
          <w:p>
            <w:pPr>
              <w:tabs>
                <w:tab w:val="left" w:pos="8280"/>
              </w:tabs>
              <w:spacing w:line="360" w:lineRule="auto"/>
              <w:ind w:firstLine="480"/>
              <w:rPr>
                <w:rFonts w:ascii="宋体" w:hAnsi="宋体"/>
                <w:bCs/>
                <w:color w:val="000000"/>
                <w:sz w:val="24"/>
              </w:rPr>
            </w:pPr>
            <w:r>
              <w:rPr>
                <w:rFonts w:hint="eastAsia" w:ascii="宋体" w:hAnsi="宋体"/>
                <w:bCs/>
                <w:color w:val="000000"/>
                <w:sz w:val="24"/>
              </w:rPr>
              <w:t>本合同项下总价款为（人民币）：   万   仟佰   拾   元   角   分     （￥           ），分项价款详见。本合同总价款已包括乙方为履行本合同义务所发生的一切费用，系固定不变价格，且不随通货膨胀的影响而波动。本合同约定的货物单价已包含购买货物及售后服务所发生的全部费用，包括但不限于运输费、保险费、装卸费、配套资料费以及售后服务费用等。货物单价在本合同履行过程中保持不变，经甲乙双方协商一致以书面形式予以变更的除外。</w:t>
            </w:r>
          </w:p>
          <w:p>
            <w:pPr>
              <w:spacing w:line="360" w:lineRule="auto"/>
              <w:ind w:left="468" w:leftChars="57" w:hanging="348" w:hangingChars="145"/>
              <w:rPr>
                <w:rFonts w:ascii="宋体" w:hAnsi="宋体"/>
                <w:bCs/>
                <w:color w:val="000000"/>
                <w:sz w:val="24"/>
              </w:rPr>
            </w:pPr>
            <w:r>
              <w:rPr>
                <w:rFonts w:hint="eastAsia" w:ascii="宋体" w:hAnsi="宋体"/>
                <w:bCs/>
                <w:color w:val="000000"/>
                <w:sz w:val="24"/>
              </w:rPr>
              <w:t>二、货物质量要求</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1、乙方提供的货物必须与中标人投标时所提供的样品一致，货物必须是全新的，必须具备出厂合格证，且进货渠道合法。</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2、乙方所提供的货物的技术规格符合招标文件规定的技术规格，货物符合中华人民共和国的设计和制造生产标准或行业标准。</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3、乙方应保证货物是全新、未使用过的原装合格正品（包括零部件），并完全符合甲方要求的质量、规格和性能的要求。如货物安装或配置了软件的，乙方保证相关软件均为正版软件。</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4、乙方保证交货时一并提供货物的质量合格凭证或文件。</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5、合约期间及售后质量服务期如果供方交付的货品出现以假充真、以次充好等瑕疵状况，甲方有权对乙方瑕疵货品所在批次同类物品总金额10-20倍罚款。情节严重的甲方有权解约，并有权要求乙方赔偿甲方造成的损失。</w:t>
            </w:r>
          </w:p>
          <w:p>
            <w:pPr>
              <w:spacing w:line="360" w:lineRule="auto"/>
              <w:rPr>
                <w:rFonts w:ascii="宋体" w:hAnsi="宋体"/>
                <w:color w:val="000000"/>
                <w:sz w:val="24"/>
              </w:rPr>
            </w:pPr>
            <w:r>
              <w:rPr>
                <w:rFonts w:hint="eastAsia" w:ascii="宋体" w:hAnsi="宋体"/>
                <w:color w:val="000000"/>
                <w:sz w:val="24"/>
              </w:rPr>
              <w:t>三、权利保证</w:t>
            </w:r>
          </w:p>
          <w:p>
            <w:pPr>
              <w:spacing w:line="360" w:lineRule="auto"/>
              <w:ind w:left="465" w:leftChars="135" w:hanging="182" w:hangingChars="76"/>
              <w:rPr>
                <w:rFonts w:ascii="宋体" w:hAnsi="宋体"/>
                <w:color w:val="000000"/>
                <w:sz w:val="24"/>
              </w:rPr>
            </w:pPr>
            <w:r>
              <w:rPr>
                <w:rFonts w:hint="eastAsia" w:ascii="宋体" w:hAnsi="宋体"/>
                <w:color w:val="000000"/>
                <w:sz w:val="24"/>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outlineLvl w:val="0"/>
              <w:rPr>
                <w:rFonts w:ascii="宋体" w:hAnsi="宋体"/>
                <w:bCs/>
                <w:color w:val="000000"/>
                <w:sz w:val="24"/>
              </w:rPr>
            </w:pPr>
            <w:r>
              <w:rPr>
                <w:rFonts w:hint="eastAsia" w:ascii="宋体" w:hAnsi="宋体"/>
                <w:bCs/>
                <w:color w:val="000000"/>
                <w:sz w:val="24"/>
              </w:rPr>
              <w:t>四、货物交付及验收</w:t>
            </w:r>
          </w:p>
          <w:p>
            <w:pPr>
              <w:spacing w:line="360" w:lineRule="auto"/>
              <w:ind w:left="283" w:leftChars="135" w:firstLine="2"/>
              <w:rPr>
                <w:rFonts w:ascii="宋体" w:hAnsi="宋体"/>
                <w:bCs/>
                <w:color w:val="000000"/>
                <w:sz w:val="24"/>
              </w:rPr>
            </w:pPr>
            <w:r>
              <w:rPr>
                <w:rFonts w:hint="eastAsia" w:ascii="宋体" w:hAnsi="宋体"/>
                <w:bCs/>
                <w:color w:val="000000"/>
                <w:sz w:val="24"/>
              </w:rPr>
              <w:t>1、交货（具体）地点：</w:t>
            </w:r>
            <w:r>
              <w:rPr>
                <w:rFonts w:ascii="宋体" w:hAnsi="宋体"/>
                <w:bCs/>
                <w:color w:val="000000"/>
                <w:sz w:val="24"/>
              </w:rPr>
              <w:t>深圳市龙岗区龙翔大道2188号</w:t>
            </w:r>
            <w:r>
              <w:rPr>
                <w:rFonts w:hint="eastAsia" w:ascii="宋体" w:hAnsi="宋体"/>
                <w:bCs/>
                <w:color w:val="000000"/>
                <w:sz w:val="24"/>
              </w:rPr>
              <w:t>深圳信息职业技术学院_</w:t>
            </w:r>
            <w:r>
              <w:rPr>
                <w:rFonts w:hint="eastAsia" w:ascii="宋体" w:hAnsi="宋体"/>
                <w:bCs/>
                <w:color w:val="000000"/>
                <w:sz w:val="24"/>
                <w:u w:val="single"/>
              </w:rPr>
              <w:t>学生公寓A2栋</w:t>
            </w:r>
            <w:r>
              <w:rPr>
                <w:rFonts w:hint="eastAsia" w:ascii="宋体" w:hAnsi="宋体"/>
                <w:bCs/>
                <w:color w:val="000000"/>
                <w:sz w:val="24"/>
              </w:rPr>
              <w:t>。</w:t>
            </w:r>
          </w:p>
          <w:p>
            <w:pPr>
              <w:spacing w:line="360" w:lineRule="auto"/>
              <w:ind w:left="283" w:leftChars="135" w:firstLine="2"/>
              <w:rPr>
                <w:rFonts w:ascii="宋体" w:hAnsi="宋体"/>
                <w:bCs/>
                <w:color w:val="000000"/>
                <w:sz w:val="24"/>
              </w:rPr>
            </w:pPr>
            <w:r>
              <w:rPr>
                <w:rFonts w:hint="eastAsia" w:ascii="宋体" w:hAnsi="宋体"/>
                <w:bCs/>
                <w:color w:val="000000"/>
                <w:sz w:val="24"/>
              </w:rPr>
              <w:t>交货及验收日期：收到甲方送货通知起 _10_个日历日内交付货物。</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left="283" w:leftChars="135" w:firstLine="2"/>
              <w:rPr>
                <w:rFonts w:ascii="宋体" w:hAnsi="宋体"/>
                <w:bCs/>
                <w:color w:val="000000"/>
                <w:sz w:val="24"/>
              </w:rPr>
            </w:pPr>
            <w:r>
              <w:rPr>
                <w:rFonts w:hint="eastAsia" w:ascii="宋体" w:hAnsi="宋体"/>
                <w:bCs/>
                <w:color w:val="000000"/>
                <w:sz w:val="24"/>
              </w:rPr>
              <w:t xml:space="preserve">4、乙方应在交货时同时向甲方提供与本合同项下货物相符且完整的技术资料，技术资料必须以简体中文书写。 </w:t>
            </w:r>
          </w:p>
          <w:p>
            <w:pPr>
              <w:spacing w:line="360" w:lineRule="auto"/>
              <w:ind w:left="283" w:leftChars="135" w:firstLine="2"/>
              <w:rPr>
                <w:rFonts w:ascii="宋体" w:hAnsi="宋体"/>
                <w:bCs/>
                <w:color w:val="000000"/>
                <w:sz w:val="24"/>
              </w:rPr>
            </w:pPr>
            <w:r>
              <w:rPr>
                <w:rFonts w:hint="eastAsia" w:ascii="宋体" w:hAnsi="宋体"/>
                <w:bCs/>
                <w:color w:val="000000"/>
                <w:sz w:val="24"/>
              </w:rPr>
              <w:t xml:space="preserve">5、乙方应保证货物的包装符合运输的要求，足以保护货物在运输过程中不受锈蚀、损坏或灭失。 </w:t>
            </w:r>
          </w:p>
          <w:p>
            <w:pPr>
              <w:spacing w:line="360" w:lineRule="auto"/>
              <w:ind w:left="283" w:leftChars="135" w:firstLine="2"/>
              <w:rPr>
                <w:rFonts w:ascii="宋体" w:hAnsi="宋体"/>
                <w:bCs/>
                <w:color w:val="000000"/>
                <w:sz w:val="24"/>
              </w:rPr>
            </w:pPr>
            <w:r>
              <w:rPr>
                <w:rFonts w:hint="eastAsia" w:ascii="宋体" w:hAnsi="宋体"/>
                <w:bCs/>
                <w:color w:val="000000"/>
                <w:sz w:val="24"/>
              </w:rPr>
              <w:t xml:space="preserve">6、乙方负责将货物运输至约定的交货地点按要求完成安装后交付予甲方，并支付因运输货物所发生的一切费用，包括但不限于运输费、保险费、装卸费等。 </w:t>
            </w:r>
          </w:p>
          <w:p>
            <w:pPr>
              <w:spacing w:line="360" w:lineRule="auto"/>
              <w:ind w:left="283" w:leftChars="135" w:firstLine="2"/>
              <w:rPr>
                <w:rFonts w:ascii="宋体" w:hAnsi="宋体"/>
                <w:bCs/>
                <w:color w:val="000000"/>
                <w:sz w:val="24"/>
              </w:rPr>
            </w:pPr>
            <w:r>
              <w:rPr>
                <w:rFonts w:hint="eastAsia" w:ascii="宋体" w:hAnsi="宋体"/>
                <w:bCs/>
                <w:color w:val="000000"/>
                <w:sz w:val="24"/>
              </w:rPr>
              <w:t>7、货到交货地点后，甲方在</w:t>
            </w:r>
            <w:r>
              <w:rPr>
                <w:rFonts w:hint="eastAsia" w:ascii="宋体" w:hAnsi="宋体"/>
                <w:bCs/>
                <w:color w:val="000000"/>
                <w:sz w:val="24"/>
                <w:u w:val="single"/>
              </w:rPr>
              <w:t xml:space="preserve">  15 天</w:t>
            </w:r>
            <w:r>
              <w:rPr>
                <w:rFonts w:hint="eastAsia" w:ascii="宋体" w:hAnsi="宋体"/>
                <w:bCs/>
                <w:color w:val="000000"/>
                <w:sz w:val="24"/>
              </w:rPr>
              <w:t xml:space="preserve">内组织校内专家验收组对货物进行验收。验收内容包括但不限于：（1）规格型号、数量及外观达标；（2）货物包装完好；（3）货物组件齐全；（4） 货物功能、性能及各项技术参数指标合格。 </w:t>
            </w:r>
          </w:p>
          <w:p>
            <w:pPr>
              <w:spacing w:line="360" w:lineRule="auto"/>
              <w:ind w:left="283" w:leftChars="135" w:firstLine="2"/>
              <w:rPr>
                <w:rFonts w:ascii="宋体" w:hAnsi="宋体"/>
                <w:bCs/>
                <w:color w:val="000000"/>
                <w:sz w:val="24"/>
              </w:rPr>
            </w:pPr>
            <w:r>
              <w:rPr>
                <w:rFonts w:hint="eastAsia" w:ascii="宋体" w:hAnsi="宋体"/>
                <w:bCs/>
                <w:color w:val="000000"/>
                <w:sz w:val="24"/>
              </w:rPr>
              <w:t>8、验收标准：按具体技术要求进行验收。</w:t>
            </w:r>
          </w:p>
          <w:p>
            <w:pPr>
              <w:spacing w:line="360" w:lineRule="auto"/>
              <w:ind w:left="283" w:leftChars="135" w:firstLine="2"/>
              <w:rPr>
                <w:rFonts w:ascii="宋体" w:hAnsi="宋体"/>
                <w:bCs/>
                <w:color w:val="000000"/>
                <w:sz w:val="24"/>
              </w:rPr>
            </w:pPr>
            <w:r>
              <w:rPr>
                <w:rFonts w:hint="eastAsia" w:ascii="宋体" w:hAnsi="宋体"/>
                <w:bCs/>
                <w:color w:val="000000"/>
                <w:sz w:val="24"/>
              </w:rPr>
              <w:t xml:space="preserve">9、甲方所购货物全部通过验收，经甲方确认并出具验收合格证明，视为验收合格。 </w:t>
            </w:r>
          </w:p>
          <w:p>
            <w:pPr>
              <w:spacing w:line="360" w:lineRule="auto"/>
              <w:ind w:left="283" w:leftChars="135" w:firstLine="2"/>
              <w:rPr>
                <w:rFonts w:ascii="宋体" w:hAnsi="宋体"/>
                <w:bCs/>
                <w:color w:val="000000"/>
                <w:sz w:val="24"/>
              </w:rPr>
            </w:pPr>
            <w:r>
              <w:rPr>
                <w:rFonts w:hint="eastAsia" w:ascii="宋体" w:hAnsi="宋体"/>
                <w:bCs/>
                <w:color w:val="000000"/>
                <w:sz w:val="24"/>
              </w:rPr>
              <w:t xml:space="preserve">10、甲方在验收中如发现货物不符合合同的约定，有权拒绝接受该货物，并在1天内签发拒绝收货通知书。乙方应于3天内重新提供符合合同约定的货物，否则，视为乙方逾期交货。 </w:t>
            </w:r>
          </w:p>
          <w:p>
            <w:pPr>
              <w:spacing w:line="360" w:lineRule="auto"/>
              <w:ind w:left="283" w:leftChars="135" w:firstLine="2"/>
              <w:rPr>
                <w:rFonts w:ascii="宋体" w:hAnsi="宋体"/>
                <w:color w:val="000000"/>
                <w:sz w:val="24"/>
              </w:rPr>
            </w:pPr>
            <w:r>
              <w:rPr>
                <w:rFonts w:hint="eastAsia" w:ascii="宋体" w:hAnsi="宋体"/>
                <w:bCs/>
                <w:color w:val="000000"/>
                <w:sz w:val="24"/>
              </w:rPr>
              <w:t>11、如乙方对验收结果有异议，可以委托甲方所在地商检部门进行复检。商检部门的检验结果表明货物不符合合同约定的，因复检发生的费用由乙方承担；检验结果表明货物符合合同约定的，因复检发生的费用由甲方承担。</w:t>
            </w:r>
          </w:p>
          <w:p>
            <w:pPr>
              <w:spacing w:line="360" w:lineRule="auto"/>
              <w:ind w:left="538" w:hanging="537" w:hangingChars="224"/>
              <w:outlineLvl w:val="0"/>
              <w:rPr>
                <w:rFonts w:ascii="宋体" w:hAnsi="宋体"/>
                <w:bCs/>
                <w:color w:val="000000"/>
                <w:sz w:val="24"/>
              </w:rPr>
            </w:pPr>
            <w:r>
              <w:rPr>
                <w:rFonts w:hint="eastAsia" w:ascii="宋体" w:hAnsi="宋体"/>
                <w:bCs/>
                <w:color w:val="000000"/>
                <w:sz w:val="24"/>
              </w:rPr>
              <w:t>五、付款说明：</w:t>
            </w:r>
          </w:p>
          <w:p>
            <w:pPr>
              <w:spacing w:line="360" w:lineRule="auto"/>
              <w:ind w:left="468" w:leftChars="223"/>
              <w:rPr>
                <w:rFonts w:ascii="宋体" w:hAnsi="宋体"/>
                <w:bCs/>
                <w:color w:val="000000"/>
                <w:sz w:val="24"/>
              </w:rPr>
            </w:pPr>
            <w:r>
              <w:rPr>
                <w:rFonts w:hint="eastAsia" w:ascii="宋体" w:hAnsi="宋体"/>
                <w:bCs/>
                <w:color w:val="000000"/>
                <w:sz w:val="24"/>
              </w:rPr>
              <w:t>本次采购货物合同总金额为￥____________，待货到买方现场，安装调试、验收合格后10个工作日内，买方向卖方一次支付。</w:t>
            </w:r>
          </w:p>
          <w:p>
            <w:pPr>
              <w:spacing w:line="360" w:lineRule="auto"/>
              <w:rPr>
                <w:rFonts w:ascii="宋体" w:hAnsi="宋体"/>
                <w:bCs/>
                <w:color w:val="000000"/>
                <w:sz w:val="24"/>
              </w:rPr>
            </w:pPr>
            <w:r>
              <w:rPr>
                <w:rFonts w:hint="eastAsia" w:ascii="宋体" w:hAnsi="宋体"/>
                <w:bCs/>
                <w:color w:val="000000"/>
                <w:sz w:val="24"/>
              </w:rPr>
              <w:t>六、保修及其他服务</w:t>
            </w:r>
          </w:p>
          <w:p>
            <w:pPr>
              <w:spacing w:line="360" w:lineRule="auto"/>
              <w:ind w:left="470" w:leftChars="224"/>
              <w:rPr>
                <w:rFonts w:ascii="宋体" w:hAnsi="宋体"/>
                <w:bCs/>
                <w:color w:val="000000"/>
                <w:sz w:val="24"/>
              </w:rPr>
            </w:pPr>
            <w:r>
              <w:rPr>
                <w:rFonts w:hint="eastAsia" w:ascii="宋体" w:hAnsi="宋体"/>
                <w:bCs/>
                <w:color w:val="000000"/>
                <w:sz w:val="24"/>
              </w:rPr>
              <w:t>1、乙方应按照国家有关法律法规规章和“三包”规定和招标文件的要求及乙方在投标文件的相关承诺提供保修及其他服务。</w:t>
            </w:r>
          </w:p>
          <w:p>
            <w:pPr>
              <w:spacing w:line="360" w:lineRule="auto"/>
              <w:ind w:left="470" w:leftChars="224"/>
              <w:rPr>
                <w:rFonts w:ascii="宋体" w:hAnsi="宋体"/>
                <w:bCs/>
                <w:color w:val="000000"/>
                <w:sz w:val="24"/>
              </w:rPr>
            </w:pPr>
            <w:r>
              <w:rPr>
                <w:rFonts w:hint="eastAsia" w:ascii="宋体" w:hAnsi="宋体"/>
                <w:bCs/>
                <w:color w:val="000000"/>
                <w:sz w:val="24"/>
              </w:rPr>
              <w:t>2、保修期内，乙方负责对其提供的货物进行维修和系统维护，不再收取任何费用。所有货物保修服务方式均为乙方上门保修，即由乙方派员到货物使用现场维修，由此产生的一切费用均由乙方承担。</w:t>
            </w:r>
          </w:p>
          <w:p>
            <w:pPr>
              <w:spacing w:line="360" w:lineRule="auto"/>
              <w:outlineLvl w:val="0"/>
              <w:rPr>
                <w:rFonts w:ascii="宋体" w:hAnsi="宋体"/>
                <w:bCs/>
                <w:color w:val="000000"/>
                <w:sz w:val="24"/>
              </w:rPr>
            </w:pPr>
            <w:r>
              <w:rPr>
                <w:rFonts w:hint="eastAsia" w:ascii="宋体" w:hAnsi="宋体"/>
                <w:bCs/>
                <w:color w:val="000000"/>
                <w:sz w:val="24"/>
              </w:rPr>
              <w:t>七、售后质量服务条款</w:t>
            </w:r>
          </w:p>
          <w:p>
            <w:pPr>
              <w:spacing w:line="360" w:lineRule="auto"/>
              <w:ind w:left="470" w:leftChars="224"/>
              <w:rPr>
                <w:rFonts w:ascii="宋体" w:hAnsi="宋体"/>
                <w:bCs/>
                <w:color w:val="000000"/>
                <w:sz w:val="24"/>
              </w:rPr>
            </w:pPr>
            <w:r>
              <w:rPr>
                <w:rFonts w:hint="eastAsia" w:ascii="宋体" w:hAnsi="宋体"/>
                <w:bCs/>
                <w:color w:val="000000"/>
                <w:sz w:val="24"/>
              </w:rPr>
              <w:t>1、售后质量服务期：货物自全部验收入库之日起1年内。</w:t>
            </w:r>
          </w:p>
          <w:p>
            <w:pPr>
              <w:spacing w:line="360" w:lineRule="auto"/>
              <w:ind w:left="470" w:leftChars="224"/>
              <w:rPr>
                <w:rFonts w:ascii="宋体" w:hAnsi="宋体"/>
                <w:bCs/>
                <w:color w:val="000000"/>
                <w:sz w:val="24"/>
              </w:rPr>
            </w:pPr>
            <w:r>
              <w:rPr>
                <w:rFonts w:hint="eastAsia" w:ascii="宋体" w:hAnsi="宋体"/>
                <w:bCs/>
                <w:color w:val="000000"/>
                <w:sz w:val="24"/>
              </w:rPr>
              <w:t>2、乙方须承诺其所提供的货物自全部货物验收入库之日起60日内，如有质量问题包退换。如因此对甲方产生的损失，乙方应当全额赔偿。</w:t>
            </w:r>
          </w:p>
          <w:p>
            <w:pPr>
              <w:spacing w:line="360" w:lineRule="auto"/>
              <w:outlineLvl w:val="0"/>
              <w:rPr>
                <w:rFonts w:ascii="宋体" w:hAnsi="宋体"/>
                <w:bCs/>
                <w:color w:val="000000"/>
                <w:sz w:val="24"/>
              </w:rPr>
            </w:pPr>
            <w:r>
              <w:rPr>
                <w:rFonts w:hint="eastAsia" w:ascii="宋体" w:hAnsi="宋体"/>
                <w:bCs/>
                <w:color w:val="000000"/>
                <w:sz w:val="24"/>
              </w:rPr>
              <w:t>八、违约责任：</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1、甲乙双方均应全面履行本合同，任何一方未能按照本合同的约定履行自己的义务，应当承担违约责任。违约方应当赔偿守约方因此遭受的损失，包括但不限于守约方的直接经济损失、间接经济损失、守约方为追究违约责任所发生的律师费、差旅费、交通费等。</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2、</w:t>
            </w:r>
            <w:r>
              <w:rPr>
                <w:rFonts w:hint="eastAsia" w:ascii="宋体" w:hAnsi="宋体"/>
                <w:color w:val="000000"/>
                <w:sz w:val="24"/>
              </w:rPr>
              <w:t>乙</w:t>
            </w:r>
            <w:r>
              <w:rPr>
                <w:rFonts w:hint="eastAsia" w:ascii="宋体" w:hAnsi="宋体"/>
                <w:bCs/>
                <w:color w:val="000000"/>
                <w:sz w:val="24"/>
              </w:rPr>
              <w:t>方交付的货物不符合合同规定，甲方有权拒收，</w:t>
            </w:r>
            <w:r>
              <w:rPr>
                <w:rFonts w:hint="eastAsia" w:ascii="宋体" w:hAnsi="宋体"/>
                <w:color w:val="000000"/>
                <w:sz w:val="24"/>
              </w:rPr>
              <w:t>乙</w:t>
            </w:r>
            <w:r>
              <w:rPr>
                <w:rFonts w:hint="eastAsia" w:ascii="宋体" w:hAnsi="宋体"/>
                <w:bCs/>
                <w:color w:val="000000"/>
                <w:sz w:val="24"/>
              </w:rPr>
              <w:t>方需向甲方支付合同总金额5%的违约金。</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3、在售后质量服务期内发现</w:t>
            </w:r>
            <w:r>
              <w:rPr>
                <w:rFonts w:hint="eastAsia" w:ascii="宋体" w:hAnsi="宋体"/>
                <w:color w:val="000000"/>
                <w:sz w:val="24"/>
              </w:rPr>
              <w:t>乙</w:t>
            </w:r>
            <w:r>
              <w:rPr>
                <w:rFonts w:hint="eastAsia" w:ascii="宋体" w:hAnsi="宋体"/>
                <w:bCs/>
                <w:color w:val="000000"/>
                <w:sz w:val="24"/>
              </w:rPr>
              <w:t>方交付的货物不符合合同规定，甲方有权退换，情况严重者甲方有权要求乙方赔偿。</w:t>
            </w:r>
          </w:p>
          <w:p>
            <w:pPr>
              <w:spacing w:line="360" w:lineRule="auto"/>
              <w:ind w:left="465" w:leftChars="135" w:hanging="182" w:hangingChars="76"/>
              <w:rPr>
                <w:rFonts w:ascii="宋体" w:hAnsi="宋体"/>
                <w:bCs/>
                <w:color w:val="000000"/>
                <w:sz w:val="24"/>
              </w:rPr>
            </w:pPr>
            <w:r>
              <w:rPr>
                <w:rFonts w:hint="eastAsia" w:ascii="宋体" w:hAnsi="宋体"/>
                <w:bCs/>
                <w:color w:val="000000"/>
                <w:sz w:val="24"/>
              </w:rPr>
              <w:t>4、甲方无正当理由拒收货物，拒付货款的，甲方需向</w:t>
            </w:r>
            <w:r>
              <w:rPr>
                <w:rFonts w:hint="eastAsia" w:ascii="宋体" w:hAnsi="宋体"/>
                <w:color w:val="000000"/>
                <w:sz w:val="24"/>
              </w:rPr>
              <w:t>乙</w:t>
            </w:r>
            <w:r>
              <w:rPr>
                <w:rFonts w:hint="eastAsia" w:ascii="宋体" w:hAnsi="宋体"/>
                <w:bCs/>
                <w:color w:val="000000"/>
                <w:sz w:val="24"/>
              </w:rPr>
              <w:t>方偿付货款总金额的5%违约金。</w:t>
            </w:r>
          </w:p>
          <w:p>
            <w:pPr>
              <w:spacing w:line="360" w:lineRule="auto"/>
              <w:ind w:left="465" w:leftChars="135" w:hanging="182" w:hangingChars="76"/>
              <w:rPr>
                <w:rFonts w:ascii="宋体" w:hAnsi="宋体"/>
                <w:bCs/>
                <w:color w:val="000000"/>
                <w:sz w:val="24"/>
              </w:rPr>
            </w:pPr>
            <w:r>
              <w:rPr>
                <w:rFonts w:hint="eastAsia" w:ascii="宋体" w:hAnsi="宋体"/>
                <w:color w:val="000000"/>
                <w:sz w:val="24"/>
              </w:rPr>
              <w:t>5、乙</w:t>
            </w:r>
            <w:r>
              <w:rPr>
                <w:rFonts w:hint="eastAsia" w:ascii="宋体" w:hAnsi="宋体"/>
                <w:bCs/>
                <w:color w:val="000000"/>
                <w:sz w:val="24"/>
              </w:rPr>
              <w:t>方逾期交付货物的，则每天按合同总额的3‰向甲方支付违约金。乙方无故逾期交付超过5天，甲方有权终止合同。</w:t>
            </w:r>
          </w:p>
          <w:p>
            <w:pPr>
              <w:pStyle w:val="4"/>
              <w:spacing w:line="360" w:lineRule="auto"/>
              <w:ind w:left="482" w:hanging="482"/>
              <w:rPr>
                <w:rFonts w:hAnsi="宋体"/>
                <w:bCs/>
                <w:color w:val="000000"/>
                <w:sz w:val="24"/>
                <w:szCs w:val="24"/>
              </w:rPr>
            </w:pPr>
            <w:r>
              <w:rPr>
                <w:rFonts w:hint="eastAsia" w:hAnsi="宋体"/>
                <w:bCs/>
                <w:color w:val="000000"/>
                <w:sz w:val="24"/>
                <w:szCs w:val="24"/>
              </w:rPr>
              <w:t>九、权利瑕疵担保</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1、乙方应就交付的货物，保证甲方免受任何第三方主张任何权利。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2、如第三人对合同标的物主张所有权或知识产权的侵权损害赔偿请求，甲方有权解除合同，并追究乙方的违约责任。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3、在合同履行过程中，甲方有确切证据证明第三方可能就合同标的物主张权利的，甲方有权中止支付相应的价款，但乙方提供适当担保的除外。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4、因为第三方对甲方主张权利而发生的纠纷，乙方应承担相应的法律责任和诉讼费用、律师费用、其他为解除纠纷而发生的费用以及由此给甲方造成的经济损失。</w:t>
            </w:r>
          </w:p>
          <w:p>
            <w:pPr>
              <w:pStyle w:val="4"/>
              <w:spacing w:line="360" w:lineRule="auto"/>
              <w:ind w:left="482" w:hanging="482"/>
              <w:rPr>
                <w:rFonts w:hAnsi="宋体"/>
                <w:bCs/>
                <w:color w:val="000000"/>
                <w:sz w:val="24"/>
                <w:szCs w:val="24"/>
              </w:rPr>
            </w:pPr>
            <w:r>
              <w:rPr>
                <w:rFonts w:hint="eastAsia" w:hAnsi="宋体"/>
                <w:bCs/>
                <w:color w:val="000000"/>
                <w:sz w:val="24"/>
                <w:szCs w:val="24"/>
              </w:rPr>
              <w:t>十、风险承担</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1、货物毁损、灭失及对第三人造成伤害的风险，在货物经甲方验收合格以前由乙方承担，在货物经甲方验收合格以后由甲方承担。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2、甲方因货物质量不符合约定的质量要求而拒绝接受货物或解除合同的，货物毁损、灭失的风险由乙方承担。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3、货物毁损、灭失的风险由甲方承担的，不影响因乙方履行合同义务不符合约定的，甲方要求其承担违约责任的权利。 </w:t>
            </w:r>
          </w:p>
          <w:p>
            <w:pPr>
              <w:pStyle w:val="4"/>
              <w:spacing w:line="360" w:lineRule="auto"/>
              <w:ind w:left="482" w:hanging="482"/>
              <w:rPr>
                <w:rFonts w:hAnsi="宋体"/>
                <w:bCs/>
                <w:color w:val="000000"/>
                <w:sz w:val="24"/>
                <w:szCs w:val="24"/>
              </w:rPr>
            </w:pPr>
            <w:r>
              <w:rPr>
                <w:rFonts w:hint="eastAsia" w:hAnsi="宋体"/>
                <w:bCs/>
                <w:color w:val="000000"/>
                <w:sz w:val="24"/>
                <w:szCs w:val="24"/>
              </w:rPr>
              <w:t xml:space="preserve">  4、由乙方承担货物毁损、灭失风险的，如货物毁损或灭失的，乙方应于3天内重新提供符合合同规定的货物，否则，视为乙方逾期交货。 </w:t>
            </w:r>
          </w:p>
          <w:p>
            <w:pPr>
              <w:pStyle w:val="4"/>
              <w:spacing w:line="360" w:lineRule="auto"/>
              <w:ind w:left="482" w:hanging="482"/>
              <w:rPr>
                <w:rFonts w:hint="eastAsia" w:hAnsi="宋体"/>
                <w:bCs/>
                <w:color w:val="000000"/>
                <w:sz w:val="24"/>
                <w:szCs w:val="24"/>
              </w:rPr>
            </w:pPr>
            <w:r>
              <w:rPr>
                <w:rFonts w:hint="eastAsia" w:hAnsi="宋体"/>
                <w:bCs/>
                <w:color w:val="000000"/>
                <w:sz w:val="24"/>
                <w:szCs w:val="24"/>
              </w:rPr>
              <w:t xml:space="preserve">  5、由甲方承担货物毁损、灭失风险的，则甲方不能免除给付货款的义务。</w:t>
            </w:r>
          </w:p>
          <w:p>
            <w:pPr>
              <w:pStyle w:val="4"/>
              <w:spacing w:line="360" w:lineRule="auto"/>
              <w:ind w:left="482" w:hanging="482"/>
              <w:rPr>
                <w:rFonts w:hint="eastAsia" w:hAnsi="宋体" w:eastAsia="宋体"/>
                <w:bCs/>
                <w:color w:val="C0504D" w:themeColor="accent2"/>
                <w:sz w:val="24"/>
                <w:szCs w:val="24"/>
                <w:lang w:val="en-US" w:eastAsia="zh-CN"/>
              </w:rPr>
            </w:pPr>
            <w:r>
              <w:rPr>
                <w:rFonts w:hint="eastAsia" w:hAnsi="宋体"/>
                <w:bCs/>
                <w:color w:val="C00000"/>
                <w:sz w:val="24"/>
                <w:szCs w:val="24"/>
                <w:lang w:val="en-US" w:eastAsia="zh-CN"/>
              </w:rPr>
              <w:t xml:space="preserve">  6、</w:t>
            </w:r>
            <w:r>
              <w:rPr>
                <w:rFonts w:hint="eastAsia" w:hAnsi="宋体"/>
                <w:bCs/>
                <w:color w:val="C0504D" w:themeColor="accent2"/>
                <w:sz w:val="24"/>
                <w:szCs w:val="24"/>
                <w:lang w:val="en-US" w:eastAsia="zh-CN"/>
              </w:rPr>
              <w:t>乙方在运输、安装及搬运、维修等过程中产生的人员伤亡及货物</w:t>
            </w:r>
            <w:r>
              <w:rPr>
                <w:rFonts w:hint="eastAsia" w:hAnsi="宋体"/>
                <w:bCs/>
                <w:color w:val="C0504D" w:themeColor="accent2"/>
                <w:sz w:val="24"/>
                <w:szCs w:val="24"/>
              </w:rPr>
              <w:t>毁损、灭失</w:t>
            </w:r>
            <w:r>
              <w:rPr>
                <w:rFonts w:hint="eastAsia" w:hAnsi="宋体"/>
                <w:bCs/>
                <w:color w:val="C0504D" w:themeColor="accent2"/>
                <w:sz w:val="24"/>
                <w:szCs w:val="24"/>
                <w:lang w:eastAsia="zh-CN"/>
              </w:rPr>
              <w:t>的，由此产生的法律责任及其他责任由乙方承担。</w:t>
            </w:r>
          </w:p>
          <w:p>
            <w:pPr>
              <w:pStyle w:val="4"/>
              <w:spacing w:line="360" w:lineRule="auto"/>
              <w:ind w:left="482" w:hanging="482"/>
              <w:rPr>
                <w:rFonts w:hAnsi="宋体"/>
                <w:bCs/>
                <w:color w:val="000000"/>
                <w:sz w:val="24"/>
                <w:szCs w:val="24"/>
              </w:rPr>
            </w:pPr>
            <w:r>
              <w:rPr>
                <w:rFonts w:hint="eastAsia" w:hAnsi="宋体"/>
                <w:bCs/>
                <w:color w:val="000000"/>
                <w:sz w:val="24"/>
                <w:szCs w:val="24"/>
              </w:rPr>
              <w:t>十一、合同生效及其他</w:t>
            </w:r>
          </w:p>
          <w:p>
            <w:pPr>
              <w:pStyle w:val="4"/>
              <w:spacing w:line="360" w:lineRule="auto"/>
              <w:ind w:left="482" w:hanging="197"/>
              <w:rPr>
                <w:rFonts w:hAnsi="宋体"/>
                <w:bCs/>
                <w:color w:val="000000"/>
                <w:sz w:val="24"/>
                <w:szCs w:val="24"/>
              </w:rPr>
            </w:pPr>
            <w:r>
              <w:rPr>
                <w:rFonts w:hint="eastAsia" w:hAnsi="宋体"/>
                <w:bCs/>
                <w:color w:val="000000"/>
                <w:sz w:val="24"/>
                <w:szCs w:val="24"/>
              </w:rPr>
              <w:t>1、合同签约地：深圳市龙岗区龙翔大道2188号深圳信息职业技术学院。</w:t>
            </w:r>
          </w:p>
          <w:p>
            <w:pPr>
              <w:pStyle w:val="4"/>
              <w:spacing w:line="360" w:lineRule="auto"/>
              <w:ind w:left="482" w:hanging="197"/>
              <w:rPr>
                <w:rFonts w:hAnsi="宋体"/>
                <w:bCs/>
                <w:color w:val="000000"/>
                <w:sz w:val="24"/>
                <w:szCs w:val="24"/>
              </w:rPr>
            </w:pPr>
            <w:r>
              <w:rPr>
                <w:rFonts w:hint="eastAsia" w:hAnsi="宋体"/>
                <w:bCs/>
                <w:color w:val="000000"/>
                <w:sz w:val="24"/>
                <w:szCs w:val="24"/>
              </w:rPr>
              <w:t>2、本合同一式3份，甲、乙方双方各执1份，具有同等法律效力。本合同自双方法定代表人（或授权代表）签字并盖章之日起生效。</w:t>
            </w:r>
          </w:p>
          <w:p>
            <w:pPr>
              <w:spacing w:line="360" w:lineRule="auto"/>
              <w:ind w:left="470" w:hanging="470" w:hangingChars="196"/>
              <w:outlineLvl w:val="0"/>
              <w:rPr>
                <w:rFonts w:ascii="宋体" w:hAnsi="宋体"/>
                <w:bCs/>
                <w:color w:val="000000"/>
                <w:sz w:val="24"/>
              </w:rPr>
            </w:pPr>
            <w:r>
              <w:rPr>
                <w:rFonts w:hint="eastAsia" w:ascii="宋体" w:hAnsi="宋体"/>
                <w:bCs/>
                <w:color w:val="000000"/>
                <w:sz w:val="24"/>
              </w:rPr>
              <w:t>十二、合同发生争议，由双方协商或调解解决，协商或调解不成时，向合同签订地人民法院起诉。</w:t>
            </w:r>
          </w:p>
          <w:p>
            <w:pPr>
              <w:spacing w:line="360" w:lineRule="auto"/>
              <w:ind w:left="1350" w:leftChars="300" w:hanging="720" w:hangingChars="300"/>
              <w:outlineLvl w:val="0"/>
              <w:rPr>
                <w:rFonts w:ascii="宋体" w:hAnsi="宋体"/>
                <w:bCs/>
                <w:color w:val="000000"/>
                <w:sz w:val="24"/>
              </w:rPr>
            </w:pPr>
          </w:p>
          <w:p>
            <w:pPr>
              <w:spacing w:line="360" w:lineRule="auto"/>
              <w:rPr>
                <w:rFonts w:ascii="宋体" w:hAnsi="宋体"/>
                <w:bCs/>
                <w:color w:val="000000"/>
                <w:sz w:val="24"/>
              </w:rPr>
            </w:pPr>
            <w:r>
              <w:rPr>
                <w:rFonts w:hint="eastAsia" w:ascii="宋体" w:hAnsi="宋体"/>
                <w:bCs/>
                <w:color w:val="000000"/>
                <w:sz w:val="24"/>
              </w:rPr>
              <w:t>甲方：深圳信息职业技术学院（合同章）    乙方:          （合同章）</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360" w:lineRule="auto"/>
              <w:rPr>
                <w:rFonts w:ascii="宋体" w:hAnsi="宋体"/>
                <w:bCs/>
                <w:color w:val="000000"/>
                <w:sz w:val="24"/>
              </w:rPr>
            </w:pPr>
            <w:r>
              <w:rPr>
                <w:rFonts w:hint="eastAsia" w:ascii="宋体" w:hAnsi="宋体"/>
                <w:bCs/>
                <w:color w:val="000000"/>
                <w:sz w:val="24"/>
              </w:rPr>
              <w:t xml:space="preserve">用户单位负责人签字：                   </w:t>
            </w:r>
            <w:r>
              <w:rPr>
                <w:rFonts w:hint="eastAsia" w:ascii="宋体" w:hAnsi="宋体"/>
                <w:color w:val="000000"/>
                <w:sz w:val="24"/>
              </w:rPr>
              <w:t>法定代表人（委托代理人）（签字）：</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360" w:lineRule="auto"/>
              <w:rPr>
                <w:rFonts w:ascii="宋体" w:hAnsi="宋体"/>
                <w:bCs/>
                <w:color w:val="000000"/>
                <w:sz w:val="24"/>
              </w:rPr>
            </w:pPr>
            <w:r>
              <w:rPr>
                <w:rFonts w:hint="eastAsia" w:ascii="宋体" w:hAnsi="宋体"/>
                <w:bCs/>
                <w:color w:val="000000"/>
                <w:sz w:val="24"/>
              </w:rPr>
              <w:t xml:space="preserve">签字日期：                              签字日期：       </w:t>
            </w: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tc>
      </w:tr>
    </w:tbl>
    <w:p>
      <w:pPr>
        <w:ind w:left="-567" w:leftChars="-270"/>
      </w:pPr>
    </w:p>
    <w:sectPr>
      <w:pgSz w:w="11906" w:h="16838"/>
      <w:pgMar w:top="1440" w:right="1800" w:bottom="127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A2CC6"/>
    <w:multiLevelType w:val="multilevel"/>
    <w:tmpl w:val="0FFA2CC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DC2367"/>
    <w:multiLevelType w:val="multilevel"/>
    <w:tmpl w:val="13DC23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001F52"/>
    <w:multiLevelType w:val="multilevel"/>
    <w:tmpl w:val="29001F5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F6046"/>
    <w:rsid w:val="0001419F"/>
    <w:rsid w:val="00057C93"/>
    <w:rsid w:val="00063FD6"/>
    <w:rsid w:val="00071D0F"/>
    <w:rsid w:val="0008588C"/>
    <w:rsid w:val="00097142"/>
    <w:rsid w:val="000A271A"/>
    <w:rsid w:val="000B3328"/>
    <w:rsid w:val="000E660A"/>
    <w:rsid w:val="000E7390"/>
    <w:rsid w:val="0011583D"/>
    <w:rsid w:val="001272BD"/>
    <w:rsid w:val="00131E92"/>
    <w:rsid w:val="00175BCA"/>
    <w:rsid w:val="00182A71"/>
    <w:rsid w:val="001F152D"/>
    <w:rsid w:val="001F21FF"/>
    <w:rsid w:val="00211895"/>
    <w:rsid w:val="00234498"/>
    <w:rsid w:val="00271041"/>
    <w:rsid w:val="00275D1E"/>
    <w:rsid w:val="00280794"/>
    <w:rsid w:val="00281E55"/>
    <w:rsid w:val="0028502E"/>
    <w:rsid w:val="00287532"/>
    <w:rsid w:val="00287E97"/>
    <w:rsid w:val="002A39EE"/>
    <w:rsid w:val="002B3755"/>
    <w:rsid w:val="002B37F7"/>
    <w:rsid w:val="002E5543"/>
    <w:rsid w:val="00312840"/>
    <w:rsid w:val="00355024"/>
    <w:rsid w:val="00393CCC"/>
    <w:rsid w:val="00431032"/>
    <w:rsid w:val="00433964"/>
    <w:rsid w:val="00437E76"/>
    <w:rsid w:val="00463CCC"/>
    <w:rsid w:val="00472B85"/>
    <w:rsid w:val="00473166"/>
    <w:rsid w:val="0048738F"/>
    <w:rsid w:val="00494A0E"/>
    <w:rsid w:val="004D75C8"/>
    <w:rsid w:val="004F2029"/>
    <w:rsid w:val="004F3D24"/>
    <w:rsid w:val="005212F7"/>
    <w:rsid w:val="00537027"/>
    <w:rsid w:val="00543588"/>
    <w:rsid w:val="00594190"/>
    <w:rsid w:val="005A1AE9"/>
    <w:rsid w:val="005A25AB"/>
    <w:rsid w:val="005B5B18"/>
    <w:rsid w:val="005E1DE7"/>
    <w:rsid w:val="005F7252"/>
    <w:rsid w:val="00616EE5"/>
    <w:rsid w:val="00667B69"/>
    <w:rsid w:val="006D14CB"/>
    <w:rsid w:val="006D5689"/>
    <w:rsid w:val="006D7383"/>
    <w:rsid w:val="006F6046"/>
    <w:rsid w:val="007134BF"/>
    <w:rsid w:val="0071790D"/>
    <w:rsid w:val="00730E1A"/>
    <w:rsid w:val="00732F89"/>
    <w:rsid w:val="007462CE"/>
    <w:rsid w:val="007478F8"/>
    <w:rsid w:val="00771FD7"/>
    <w:rsid w:val="007762E2"/>
    <w:rsid w:val="00786E4D"/>
    <w:rsid w:val="007C03AE"/>
    <w:rsid w:val="007C528F"/>
    <w:rsid w:val="007D46BF"/>
    <w:rsid w:val="0082408B"/>
    <w:rsid w:val="00837FF4"/>
    <w:rsid w:val="0084221A"/>
    <w:rsid w:val="00847C10"/>
    <w:rsid w:val="008902C9"/>
    <w:rsid w:val="008C32F3"/>
    <w:rsid w:val="008D7CC7"/>
    <w:rsid w:val="00902FA2"/>
    <w:rsid w:val="0091119C"/>
    <w:rsid w:val="00932162"/>
    <w:rsid w:val="009717CD"/>
    <w:rsid w:val="009739B7"/>
    <w:rsid w:val="00996F28"/>
    <w:rsid w:val="009C0A0F"/>
    <w:rsid w:val="009C2B82"/>
    <w:rsid w:val="009F5E60"/>
    <w:rsid w:val="00A42DE0"/>
    <w:rsid w:val="00A454F0"/>
    <w:rsid w:val="00A8656E"/>
    <w:rsid w:val="00AD4EB9"/>
    <w:rsid w:val="00AF7AA4"/>
    <w:rsid w:val="00B34D18"/>
    <w:rsid w:val="00B40A13"/>
    <w:rsid w:val="00B46382"/>
    <w:rsid w:val="00B46A60"/>
    <w:rsid w:val="00B90B04"/>
    <w:rsid w:val="00BD1332"/>
    <w:rsid w:val="00BD7427"/>
    <w:rsid w:val="00BD7C9C"/>
    <w:rsid w:val="00C01BD8"/>
    <w:rsid w:val="00C45993"/>
    <w:rsid w:val="00C478AB"/>
    <w:rsid w:val="00C5026E"/>
    <w:rsid w:val="00C97747"/>
    <w:rsid w:val="00D363E6"/>
    <w:rsid w:val="00DA25C1"/>
    <w:rsid w:val="00DB08FC"/>
    <w:rsid w:val="00DB253F"/>
    <w:rsid w:val="00DC1352"/>
    <w:rsid w:val="00DC6542"/>
    <w:rsid w:val="00DF3B42"/>
    <w:rsid w:val="00E0006A"/>
    <w:rsid w:val="00E05D8C"/>
    <w:rsid w:val="00E10D0E"/>
    <w:rsid w:val="00E243B2"/>
    <w:rsid w:val="00E35ECF"/>
    <w:rsid w:val="00E56A2D"/>
    <w:rsid w:val="00EC40E9"/>
    <w:rsid w:val="00F65562"/>
    <w:rsid w:val="00F6587E"/>
    <w:rsid w:val="00F82340"/>
    <w:rsid w:val="00F95E3E"/>
    <w:rsid w:val="00FC75EC"/>
    <w:rsid w:val="246278A3"/>
    <w:rsid w:val="325B4ACD"/>
    <w:rsid w:val="379F4948"/>
    <w:rsid w:val="5E1855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0"/>
    <w:pPr>
      <w:keepNext/>
      <w:keepLines/>
      <w:pageBreakBefore/>
      <w:spacing w:before="340" w:after="330" w:line="576" w:lineRule="auto"/>
      <w:textAlignment w:val="center"/>
      <w:outlineLvl w:val="0"/>
    </w:pPr>
    <w:rPr>
      <w:b/>
      <w:kern w:val="44"/>
      <w:sz w:val="44"/>
      <w:szCs w:val="20"/>
    </w:rPr>
  </w:style>
  <w:style w:type="paragraph" w:styleId="3">
    <w:name w:val="heading 3"/>
    <w:basedOn w:val="1"/>
    <w:next w:val="1"/>
    <w:link w:val="18"/>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Plain Text"/>
    <w:basedOn w:val="1"/>
    <w:link w:val="17"/>
    <w:uiPriority w:val="0"/>
    <w:rPr>
      <w:rFonts w:ascii="宋体" w:hAnsi="Courier New"/>
      <w:szCs w:val="20"/>
    </w:rPr>
  </w:style>
  <w:style w:type="paragraph" w:styleId="5">
    <w:name w:val="Body Text Indent 2"/>
    <w:basedOn w:val="1"/>
    <w:link w:val="16"/>
    <w:uiPriority w:val="0"/>
    <w:pPr>
      <w:ind w:left="735"/>
    </w:pPr>
    <w:rPr>
      <w:szCs w:val="20"/>
    </w:rPr>
  </w:style>
  <w:style w:type="paragraph" w:styleId="6">
    <w:name w:val="Balloon Text"/>
    <w:basedOn w:val="1"/>
    <w:link w:val="15"/>
    <w:semiHidden/>
    <w:unhideWhenUsed/>
    <w:uiPriority w:val="99"/>
    <w:rPr>
      <w:sz w:val="18"/>
      <w:szCs w:val="18"/>
    </w:rPr>
  </w:style>
  <w:style w:type="paragraph" w:styleId="7">
    <w:name w:val="footer"/>
    <w:basedOn w:val="1"/>
    <w:link w:val="14"/>
    <w:unhideWhenUsed/>
    <w:uiPriority w:val="99"/>
    <w:pPr>
      <w:tabs>
        <w:tab w:val="center" w:pos="4153"/>
        <w:tab w:val="right" w:pos="8306"/>
      </w:tabs>
      <w:snapToGrid w:val="0"/>
      <w:jc w:val="left"/>
    </w:pPr>
    <w:rPr>
      <w:sz w:val="18"/>
      <w:szCs w:val="18"/>
    </w:rPr>
  </w:style>
  <w:style w:type="paragraph" w:styleId="8">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标题 1 Char"/>
    <w:basedOn w:val="9"/>
    <w:link w:val="2"/>
    <w:uiPriority w:val="0"/>
    <w:rPr>
      <w:rFonts w:ascii="Times New Roman" w:hAnsi="Times New Roman" w:eastAsia="宋体" w:cs="Times New Roman"/>
      <w:b/>
      <w:kern w:val="44"/>
      <w:sz w:val="44"/>
      <w:szCs w:val="20"/>
    </w:rPr>
  </w:style>
  <w:style w:type="character" w:customStyle="1" w:styleId="13">
    <w:name w:val="页眉 Char"/>
    <w:basedOn w:val="9"/>
    <w:link w:val="8"/>
    <w:uiPriority w:val="99"/>
    <w:rPr>
      <w:rFonts w:ascii="Times New Roman" w:hAnsi="Times New Roman" w:eastAsia="宋体" w:cs="Times New Roman"/>
      <w:sz w:val="18"/>
      <w:szCs w:val="18"/>
    </w:rPr>
  </w:style>
  <w:style w:type="character" w:customStyle="1" w:styleId="14">
    <w:name w:val="页脚 Char"/>
    <w:basedOn w:val="9"/>
    <w:link w:val="7"/>
    <w:qFormat/>
    <w:uiPriority w:val="99"/>
    <w:rPr>
      <w:rFonts w:ascii="Times New Roman" w:hAnsi="Times New Roman" w:eastAsia="宋体" w:cs="Times New Roman"/>
      <w:sz w:val="18"/>
      <w:szCs w:val="18"/>
    </w:rPr>
  </w:style>
  <w:style w:type="character" w:customStyle="1" w:styleId="15">
    <w:name w:val="批注框文本 Char"/>
    <w:basedOn w:val="9"/>
    <w:link w:val="6"/>
    <w:semiHidden/>
    <w:uiPriority w:val="99"/>
    <w:rPr>
      <w:rFonts w:ascii="Times New Roman" w:hAnsi="Times New Roman" w:eastAsia="宋体" w:cs="Times New Roman"/>
      <w:sz w:val="18"/>
      <w:szCs w:val="18"/>
    </w:rPr>
  </w:style>
  <w:style w:type="character" w:customStyle="1" w:styleId="16">
    <w:name w:val="正文文本缩进 2 Char"/>
    <w:basedOn w:val="9"/>
    <w:link w:val="5"/>
    <w:qFormat/>
    <w:uiPriority w:val="0"/>
    <w:rPr>
      <w:rFonts w:ascii="Times New Roman" w:hAnsi="Times New Roman" w:eastAsia="宋体" w:cs="Times New Roman"/>
      <w:szCs w:val="20"/>
    </w:rPr>
  </w:style>
  <w:style w:type="character" w:customStyle="1" w:styleId="17">
    <w:name w:val="纯文本 Char"/>
    <w:basedOn w:val="9"/>
    <w:link w:val="4"/>
    <w:uiPriority w:val="0"/>
    <w:rPr>
      <w:rFonts w:ascii="宋体" w:hAnsi="Courier New" w:eastAsia="宋体" w:cs="Times New Roman"/>
      <w:szCs w:val="20"/>
    </w:rPr>
  </w:style>
  <w:style w:type="character" w:customStyle="1" w:styleId="18">
    <w:name w:val="标题 3 Char"/>
    <w:basedOn w:val="9"/>
    <w:link w:val="3"/>
    <w:semiHidden/>
    <w:uiPriority w:val="9"/>
    <w:rPr>
      <w:rFonts w:ascii="Times New Roman" w:hAnsi="Times New Roman" w:eastAsia="宋体" w:cs="Times New Roman"/>
      <w:b/>
      <w:bCs/>
      <w:sz w:val="32"/>
      <w:szCs w:val="32"/>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602</Words>
  <Characters>3434</Characters>
  <Lines>28</Lines>
  <Paragraphs>8</Paragraphs>
  <TotalTime>0</TotalTime>
  <ScaleCrop>false</ScaleCrop>
  <LinksUpToDate>false</LinksUpToDate>
  <CharactersWithSpaces>4028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2017-05-24T02:58:00Z</dcterms:created>
  <dc:creator>马行静</dc:creator>
  <cp:lastModifiedBy>Administrator</cp:lastModifiedBy>
  <cp:lastPrinted>2017-07-05T08:35:00Z</cp:lastPrinted>
  <dcterms:modified xsi:type="dcterms:W3CDTF">2018-06-05T01:34:58Z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