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F4" w:rsidRDefault="00D822F4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tbl>
      <w:tblPr>
        <w:tblW w:w="14055" w:type="dxa"/>
        <w:tblInd w:w="93" w:type="dxa"/>
        <w:tblLayout w:type="fixed"/>
        <w:tblLook w:val="04A0"/>
      </w:tblPr>
      <w:tblGrid>
        <w:gridCol w:w="810"/>
        <w:gridCol w:w="2255"/>
        <w:gridCol w:w="3575"/>
        <w:gridCol w:w="4795"/>
        <w:gridCol w:w="1037"/>
        <w:gridCol w:w="798"/>
        <w:gridCol w:w="785"/>
      </w:tblGrid>
      <w:tr w:rsidR="00D822F4">
        <w:trPr>
          <w:trHeight w:val="375"/>
        </w:trPr>
        <w:tc>
          <w:tcPr>
            <w:tcW w:w="1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2017</w:t>
            </w: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年检验与影像学院工作目标任务书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D82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:rsidR="00D822F4">
        <w:trPr>
          <w:trHeight w:val="750"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工作目标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关键结果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ind w:rightChars="-71" w:right="-149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完成标准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完成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</w:tr>
      <w:tr w:rsidR="00D822F4">
        <w:trPr>
          <w:trHeight w:val="112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共性工作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加强党风廉政建设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严格落实党风廉政建设责任制，健全教育、监督、预防和惩治体系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落实“党风廉政目标责任书”，全年无重大违纪违规事项发生，无重大信访举报事件发生。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付毓平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加强平安校园建设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维护学院正常的学习生活秩序，保障师生生命财产安全，创造安全稳定的环境。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落实“消防工作目标责任书”“治安综合治理工作目标责任书”全年无重大安全事故、无重大刑事案件、无重大火灾事故发生。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原增艳、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陈萍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加强工作作风建设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增强工作大局意识、担当意识、服务意识，提高工作效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率。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学院领导、各单位互评满意度达到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加强目标管理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保障学院全年工作目标的落实与战略意图的实现。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执行目标管理要求，按要求提交相关考核材料。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加强劳动纪律建设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强化劳动纪律管理，增强教职工集体意识和遵章守纪观念。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各单位按要求提交日常考勤各项相关材料，劳动纪律督察违纪率为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，全年无严重违反劳动纪律现象发生。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徐佳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加强学习型组织建设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提升个人综合素养、团队胜任力、团队执行力。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达到学习型组织建设考核验收指标要求。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徐佳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加强部门宣传工作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提高宣传意识，扩大宣传影响力度，树立良好形象。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达到宣传考核指标要求。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易东波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加强固定资产管理工作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优化资产配置，严格规范资产使用、管理，杜绝资产流失。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年入账固定资产部门明细账与实物相符率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原增艳、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陈萍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加强文化建设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加快院（系、部）文化理念与文化设施建设，提升环境文化水平。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达到年度文化建设工作考核指标要求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吴泽杰</w:t>
            </w:r>
          </w:p>
        </w:tc>
      </w:tr>
      <w:tr w:rsidR="00D822F4">
        <w:trPr>
          <w:trHeight w:val="15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一、重视教学日常管理工作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、领导重视教学。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院长（主任）全年参加教学工作例会的次数不低于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每月召开本单位教学工作会议，传达学校相关会议精神。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李恒</w:t>
            </w:r>
            <w:bookmarkStart w:id="0" w:name="_GoBack"/>
            <w:bookmarkEnd w:id="0"/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、规范教学运行。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教学日历上报及时、无差错；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教学秩序稳定，无教学事故或差错，调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停课比率低。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李恒</w:t>
            </w:r>
          </w:p>
        </w:tc>
      </w:tr>
      <w:tr w:rsidR="00D822F4">
        <w:trPr>
          <w:trHeight w:val="18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、规范考务管理。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考试命题、出卷、批改严谨规范，成绩上报按照模板要求及时上报，无差错。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考务组织工作合理，监考教师监考任务明确，无差错；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四六级考试教师参与率不低于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李恒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、加强实验室管理。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实验室日常管理规范，无事故发生。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实验耗材上报及时，程序合理，管理规范；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有毒有害危险品管理规范，无事故发生。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原增艳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陈萍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、教学档案管理条目清晰合理。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教学档案管理规范，条目清晰，材料齐全。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李恒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、做好评学评教工作。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教师评学参与率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90%;2.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学生评教满意率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马晓娟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二、深化教育教学改革，创新人才培养模式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开展教育教学改革与研究。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申报省级以上教改项目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项，厅级项目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，获厅级及以上教学改革项目立项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项。完成已立项目的课题研究、课题结项。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曹便利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、深化双院协调育人模式改革。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按照学校要求完成学业导师制遴选及工作任务；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创新双院协同育人新模式。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吴泽杰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、探索专业教育与创新创业教育融合发展新模式。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遴选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门课程开展综合性应用性、创新型设计性实践教育；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组织专业教师指导“大创”项目不少于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曹便利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张平玉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、加强基层教学组织建设。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理顺院系教学组织机构设置，制定院系教学组织建设工作方案，提交教学指导委员会审议。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马晓娟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三、加强专业、课程、教材建设，提高人才培养质量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、完成现代医疗装备专业集群建设。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制定现代医疗装备专业集群建设方案；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组织专家论证检验技术、影像技术、检验工程、影像工程模块课程建设需求。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马晓娟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、完成医学检验应用工程师、影像工程师方向分流任务。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制定并实施检验应用工程师、影像工程师人才培养方案；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邀请企业专家进校宣传动员，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完成每专业不少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人的分流任务。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马晓娟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、深化医学检验技术专业综合改革。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围绕第三方检验市场需求制定医学检验技术专业建设方案，提交专业建设指导委员会审议。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深入推进校企联合培养模式改革。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杜纪英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、深化医学影像技术专业课程改革。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遴选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门课程深化课程整合，推进基于工作过程的课程教学模式改革。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组织专家编写基于工作过程课程改革讲义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丁远鸽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、完成医学检验技术河南省民办教育品牌专业，医学影像学四年制本科专业申报工作。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整合各种资源完成申报材料准备；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完成专家组进校考察汇报及接待任务。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杜纪英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、推进“互联网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”课程建设。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开展线上线下混合式教学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门以上课程。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利用互联网手段开展学生形成性评价考核不少于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门课程。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杜纪英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、与医院、企业合作开发新课程，编写新教材。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编写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«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实验室管理信息学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启动医学影像技术、医学检验技术专业十大基本技能、十大核心技能教材编写任务。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杜纪英</w:t>
            </w:r>
          </w:p>
        </w:tc>
      </w:tr>
      <w:tr w:rsidR="00D822F4">
        <w:trPr>
          <w:trHeight w:val="11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四、加强实验室建设，改善实践教学条件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、完成现代医疗装备实训中心建设任务。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制定医疗器械实训平台建设方案，并付诸实施；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按照设计方案要求，督促、监督建设施工。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原增艳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、改善医学检验技术实验室。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完成医学检验技术实验室基础改造和实验室文化建设。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原增艳</w:t>
            </w:r>
          </w:p>
        </w:tc>
      </w:tr>
      <w:tr w:rsidR="00D822F4">
        <w:trPr>
          <w:trHeight w:val="262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师资</w:t>
            </w: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工作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一、构建定位明确、层次清晰的教师培养与发展体系，加强绩效考核与管理，建设一支适应学院可持续发展的教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师队伍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、夯实青年教师培养工作，注重培养过程和效果。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落实《新乡医学院三全学院学院青年教师系统化培养方案》，制定符合本院实际、有院系特色的青年教师系统化培养方案并落实，有措施、有记录、有效果评价。每年至少组织示范性教学、教学经验专题介绍会、教学研讨沙龙各一场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吴泽杰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、实施骨干教师遴选及培育计划。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配合人力资源部完成本单位骨干教师的遴选，制定本单位《骨干教师培养实施方案》并落实，年终评价反馈。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王小宇</w:t>
            </w:r>
          </w:p>
        </w:tc>
      </w:tr>
      <w:tr w:rsidR="00D822F4">
        <w:trPr>
          <w:trHeight w:val="262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、做好高层次人才引进与服务工作。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制定所需高层次人才岗位说明书，按照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1:3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的比例做好所需高层次人才推荐工作。为引进高层次人才配备教授助理，定期召开高层次人才座谈会，协调解决高层次人才工作、生活上的困难。座谈会有记录、有措施、有落实，无投诉教授助理现象。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王小宇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、加强双师队伍建设工作，做好教师资格证考试管理工作。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教师资格证材料合格率为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日前入职教师通过率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日后入职教师通过率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易东波</w:t>
            </w:r>
          </w:p>
        </w:tc>
      </w:tr>
      <w:tr w:rsidR="00D822F4">
        <w:trPr>
          <w:trHeight w:val="18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本年度至少选派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的教师（不含往年已外出挂职人员）进行不少于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天的挂职培训。挂职培训按培养计划进行，有总结，有评价，无弄虚作假现象。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易东波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、加强职称评审工作的管理与指导。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有专人负责本单位职称评审工作，材料上报合格率为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。达到参评年限人员参评率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，初级、中级职称评审通过率不低于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王阡莹</w:t>
            </w:r>
          </w:p>
        </w:tc>
      </w:tr>
      <w:tr w:rsidR="00D822F4">
        <w:trPr>
          <w:trHeight w:val="18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、做好工作量的管理与考核工作。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工作量统计及时，公正、公开，正确率为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。专职专任教师教学工作量达标率不低于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90%,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本单位无教学工作量低于本单位平均教学工作量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的人员。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张平玉</w:t>
            </w:r>
          </w:p>
        </w:tc>
      </w:tr>
      <w:tr w:rsidR="00D822F4">
        <w:trPr>
          <w:trHeight w:val="37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科研</w:t>
            </w: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D0D0D"/>
                <w:kern w:val="0"/>
                <w:sz w:val="28"/>
                <w:szCs w:val="28"/>
              </w:rPr>
              <w:t>工作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一、以创建应用技术型大学为目标，加大产教融合、校企合作力度，服务转型发展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、加强科研管理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制定本单位年度科研工作计划。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曹便利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单位网站主页每月发布不少于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条科研相关信息。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曹便利</w:t>
            </w:r>
          </w:p>
        </w:tc>
      </w:tr>
      <w:tr w:rsidR="00D822F4">
        <w:trPr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科研会议、报告等活动参与率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曹便利</w:t>
            </w:r>
          </w:p>
        </w:tc>
      </w:tr>
      <w:tr w:rsidR="00D822F4">
        <w:trPr>
          <w:trHeight w:val="150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加强产学研结合和人才培养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总分值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2250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，其中发表核心期刊及以上学术论文不低于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篇，横向项目不少于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项，省部级以上项目、专利等成果数量不限，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期望科研经费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80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  <w:t>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曹便利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相关专业学术活动不少于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场，其中校级活动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场。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曹便利</w:t>
            </w:r>
          </w:p>
        </w:tc>
      </w:tr>
      <w:tr w:rsidR="00D822F4">
        <w:trPr>
          <w:trHeight w:val="375"/>
        </w:trPr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创新特色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一、校企合作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实现与东软集团、华大基因、迪安诊断的合作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与东软共建影像实训中心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张平玉</w:t>
            </w:r>
          </w:p>
        </w:tc>
      </w:tr>
      <w:tr w:rsidR="00D822F4">
        <w:trPr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与华大基因进行科研合作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王阡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lastRenderedPageBreak/>
              <w:t>莹</w:t>
            </w:r>
          </w:p>
        </w:tc>
      </w:tr>
      <w:tr w:rsidR="00D822F4">
        <w:trPr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家单位进行实习合作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张俊丽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王阡莹</w:t>
            </w:r>
          </w:p>
        </w:tc>
      </w:tr>
      <w:tr w:rsidR="00D822F4">
        <w:trPr>
          <w:trHeight w:val="375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二、技能大赛</w:t>
            </w:r>
          </w:p>
        </w:tc>
        <w:tc>
          <w:tcPr>
            <w:tcW w:w="3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扩大检验专业影响力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举办第五届医学检验技能大赛。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</w:p>
        </w:tc>
      </w:tr>
      <w:tr w:rsidR="00D822F4">
        <w:trPr>
          <w:trHeight w:val="750"/>
        </w:trPr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参加全国高职高专的医学检验技能大赛，并获奖。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F4" w:rsidRDefault="00C054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D822F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F4" w:rsidRDefault="00C05487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赵心煜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王阡莹</w:t>
            </w:r>
          </w:p>
        </w:tc>
      </w:tr>
    </w:tbl>
    <w:p w:rsidR="00D822F4" w:rsidRDefault="00D822F4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D822F4" w:rsidRDefault="00D822F4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D822F4" w:rsidRDefault="00D822F4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sectPr w:rsidR="00D822F4" w:rsidSect="00D822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E2E46"/>
    <w:rsid w:val="00122ACF"/>
    <w:rsid w:val="00227442"/>
    <w:rsid w:val="00242621"/>
    <w:rsid w:val="00272B7D"/>
    <w:rsid w:val="00373D17"/>
    <w:rsid w:val="006A395C"/>
    <w:rsid w:val="006B0DE2"/>
    <w:rsid w:val="007749C1"/>
    <w:rsid w:val="00776C54"/>
    <w:rsid w:val="00790D7F"/>
    <w:rsid w:val="007C1A36"/>
    <w:rsid w:val="00C05487"/>
    <w:rsid w:val="00D702C6"/>
    <w:rsid w:val="00D822F4"/>
    <w:rsid w:val="00DE2E46"/>
    <w:rsid w:val="00EE2A86"/>
    <w:rsid w:val="00F144AD"/>
    <w:rsid w:val="00F2080A"/>
    <w:rsid w:val="0F3E49B1"/>
    <w:rsid w:val="11FA798F"/>
    <w:rsid w:val="13E360CB"/>
    <w:rsid w:val="141F4A67"/>
    <w:rsid w:val="16273CE2"/>
    <w:rsid w:val="1916558F"/>
    <w:rsid w:val="21150F1A"/>
    <w:rsid w:val="271D2B04"/>
    <w:rsid w:val="29BB7B4B"/>
    <w:rsid w:val="2FD97A40"/>
    <w:rsid w:val="35AC53BE"/>
    <w:rsid w:val="3C286A9C"/>
    <w:rsid w:val="438C68E3"/>
    <w:rsid w:val="45C81C30"/>
    <w:rsid w:val="4BA0534B"/>
    <w:rsid w:val="52172DA5"/>
    <w:rsid w:val="53A400B6"/>
    <w:rsid w:val="58DD198E"/>
    <w:rsid w:val="5A341D81"/>
    <w:rsid w:val="6257317A"/>
    <w:rsid w:val="668749F0"/>
    <w:rsid w:val="66A067FB"/>
    <w:rsid w:val="695A22EA"/>
    <w:rsid w:val="6BF2416F"/>
    <w:rsid w:val="6C187C10"/>
    <w:rsid w:val="6CD013DB"/>
    <w:rsid w:val="6FEA48CB"/>
    <w:rsid w:val="71F0260F"/>
    <w:rsid w:val="723F5A2E"/>
    <w:rsid w:val="73F80820"/>
    <w:rsid w:val="75312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2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822F4"/>
    <w:pPr>
      <w:ind w:leftChars="2500" w:left="100"/>
    </w:pPr>
  </w:style>
  <w:style w:type="paragraph" w:styleId="a4">
    <w:name w:val="footer"/>
    <w:basedOn w:val="a"/>
    <w:link w:val="Char0"/>
    <w:qFormat/>
    <w:rsid w:val="00D82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82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D822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822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D822F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2017-10-19T07:09:00Z</dcterms:created>
  <dcterms:modified xsi:type="dcterms:W3CDTF">2017-10-19T07:09:00Z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